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jc w:val="center"/>
        <w:rPr>
          <w:rFonts w:hint="eastAsia" w:ascii="宋体" w:hAnsi="宋体" w:eastAsia="黑体"/>
          <w:sz w:val="30"/>
          <w:szCs w:val="30"/>
          <w:lang w:eastAsia="zh-CN"/>
        </w:rPr>
      </w:pPr>
      <w:bookmarkStart w:id="0" w:name="_GoBack"/>
      <w:r>
        <w:rPr>
          <w:rFonts w:hint="eastAsia" w:ascii="宋体" w:hAnsi="宋体" w:eastAsia="黑体"/>
          <w:sz w:val="30"/>
          <w:szCs w:val="30"/>
          <w:lang w:eastAsia="zh-CN"/>
        </w:rPr>
        <w:t>赵铁松同志基本信息、主要成果贡献等情况公示</w:t>
      </w:r>
    </w:p>
    <w:bookmarkEnd w:id="0"/>
    <w:p>
      <w:pPr>
        <w:spacing w:line="600" w:lineRule="exact"/>
        <w:rPr>
          <w:rFonts w:ascii="宋体" w:hAnsi="宋体"/>
        </w:rPr>
      </w:pPr>
      <w:r>
        <w:rPr>
          <w:rFonts w:hint="eastAsia" w:ascii="宋体" w:hAnsi="宋体" w:eastAsia="黑体"/>
          <w:sz w:val="30"/>
          <w:szCs w:val="30"/>
        </w:rPr>
        <w:t>一、基本信息</w:t>
      </w:r>
    </w:p>
    <w:tbl>
      <w:tblPr>
        <w:tblStyle w:val="11"/>
        <w:tblW w:w="9039" w:type="dxa"/>
        <w:jc w:val="center"/>
        <w:tblInd w:w="0" w:type="dxa"/>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fixed"/>
        <w:tblCellMar>
          <w:top w:w="0" w:type="dxa"/>
          <w:left w:w="108" w:type="dxa"/>
          <w:bottom w:w="0" w:type="dxa"/>
          <w:right w:w="108" w:type="dxa"/>
        </w:tblCellMar>
      </w:tblPr>
      <w:tblGrid>
        <w:gridCol w:w="1807"/>
        <w:gridCol w:w="1808"/>
        <w:gridCol w:w="963"/>
        <w:gridCol w:w="845"/>
        <w:gridCol w:w="997"/>
        <w:gridCol w:w="811"/>
        <w:gridCol w:w="1808"/>
      </w:tblGrid>
      <w:tr>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fixed"/>
          <w:tblCellMar>
            <w:top w:w="0" w:type="dxa"/>
            <w:left w:w="108" w:type="dxa"/>
            <w:bottom w:w="0" w:type="dxa"/>
            <w:right w:w="108" w:type="dxa"/>
          </w:tblCellMar>
        </w:tblPrEx>
        <w:trPr>
          <w:trHeight w:val="559" w:hRule="atLeast"/>
          <w:jc w:val="center"/>
        </w:trPr>
        <w:tc>
          <w:tcPr>
            <w:tcW w:w="1807"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eastAsia="华文仿宋"/>
                <w:sz w:val="28"/>
                <w:szCs w:val="28"/>
              </w:rPr>
            </w:pPr>
            <w:r>
              <w:rPr>
                <w:rFonts w:hint="eastAsia" w:ascii="宋体" w:hAnsi="宋体" w:eastAsia="华文仿宋"/>
                <w:sz w:val="28"/>
                <w:szCs w:val="28"/>
              </w:rPr>
              <w:t>姓    名</w:t>
            </w:r>
          </w:p>
        </w:tc>
        <w:tc>
          <w:tcPr>
            <w:tcW w:w="1808"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eastAsia="华文仿宋"/>
                <w:sz w:val="28"/>
                <w:szCs w:val="28"/>
              </w:rPr>
            </w:pPr>
            <w:r>
              <w:rPr>
                <w:rFonts w:ascii="宋体" w:hAnsi="宋体" w:eastAsia="华文仿宋"/>
                <w:sz w:val="28"/>
                <w:szCs w:val="28"/>
              </w:rPr>
              <w:t>赵铁松</w:t>
            </w:r>
          </w:p>
        </w:tc>
        <w:tc>
          <w:tcPr>
            <w:tcW w:w="1808" w:type="dxa"/>
            <w:gridSpan w:val="2"/>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eastAsia="华文仿宋"/>
                <w:sz w:val="28"/>
                <w:szCs w:val="28"/>
              </w:rPr>
            </w:pPr>
            <w:r>
              <w:rPr>
                <w:rFonts w:hint="eastAsia" w:ascii="宋体" w:hAnsi="宋体" w:eastAsia="华文仿宋"/>
                <w:sz w:val="28"/>
                <w:szCs w:val="28"/>
              </w:rPr>
              <w:t>性    别</w:t>
            </w:r>
          </w:p>
        </w:tc>
        <w:tc>
          <w:tcPr>
            <w:tcW w:w="1808" w:type="dxa"/>
            <w:gridSpan w:val="2"/>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eastAsia="华文仿宋"/>
                <w:sz w:val="28"/>
                <w:szCs w:val="28"/>
              </w:rPr>
            </w:pPr>
            <w:r>
              <w:rPr>
                <w:rFonts w:ascii="宋体" w:hAnsi="宋体" w:eastAsia="华文仿宋"/>
                <w:sz w:val="28"/>
                <w:szCs w:val="28"/>
              </w:rPr>
              <w:t>男</w:t>
            </w:r>
          </w:p>
        </w:tc>
        <w:tc>
          <w:tcPr>
            <w:tcW w:w="1808" w:type="dxa"/>
            <w:vMerge w:val="restart"/>
            <w:tcBorders>
              <w:top w:val="single" w:color="auto" w:sz="4" w:space="0"/>
              <w:left w:val="single" w:color="auto" w:sz="4" w:space="0"/>
              <w:right w:val="single" w:color="auto" w:sz="4" w:space="0"/>
            </w:tcBorders>
            <w:vAlign w:val="center"/>
          </w:tcPr>
          <w:p>
            <w:pPr>
              <w:spacing w:line="400" w:lineRule="exact"/>
              <w:ind w:right="840"/>
              <w:rPr>
                <w:rFonts w:ascii="宋体" w:hAnsi="宋体" w:eastAsia="华文仿宋"/>
                <w:sz w:val="28"/>
                <w:szCs w:val="28"/>
              </w:rPr>
            </w:pPr>
          </w:p>
        </w:tc>
      </w:tr>
      <w:tr>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fixed"/>
          <w:tblCellMar>
            <w:top w:w="0" w:type="dxa"/>
            <w:left w:w="108" w:type="dxa"/>
            <w:bottom w:w="0" w:type="dxa"/>
            <w:right w:w="108" w:type="dxa"/>
          </w:tblCellMar>
        </w:tblPrEx>
        <w:trPr>
          <w:trHeight w:val="559" w:hRule="atLeast"/>
          <w:jc w:val="center"/>
        </w:trPr>
        <w:tc>
          <w:tcPr>
            <w:tcW w:w="1807"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eastAsia="华文仿宋"/>
                <w:sz w:val="28"/>
                <w:szCs w:val="28"/>
              </w:rPr>
            </w:pPr>
            <w:r>
              <w:rPr>
                <w:rFonts w:hint="eastAsia" w:ascii="宋体" w:hAnsi="宋体" w:eastAsia="华文仿宋"/>
                <w:spacing w:val="-4"/>
                <w:sz w:val="28"/>
                <w:szCs w:val="28"/>
              </w:rPr>
              <w:t>出生日期</w:t>
            </w:r>
          </w:p>
        </w:tc>
        <w:tc>
          <w:tcPr>
            <w:tcW w:w="1808"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eastAsia="华文仿宋"/>
                <w:sz w:val="28"/>
                <w:szCs w:val="28"/>
              </w:rPr>
            </w:pPr>
            <w:r>
              <w:rPr>
                <w:rFonts w:ascii="宋体" w:hAnsi="宋体" w:eastAsia="华文仿宋"/>
                <w:sz w:val="28"/>
                <w:szCs w:val="28"/>
              </w:rPr>
              <w:t>1984.5.16</w:t>
            </w:r>
          </w:p>
        </w:tc>
        <w:tc>
          <w:tcPr>
            <w:tcW w:w="1808" w:type="dxa"/>
            <w:gridSpan w:val="2"/>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eastAsia="华文仿宋"/>
                <w:sz w:val="28"/>
                <w:szCs w:val="28"/>
              </w:rPr>
            </w:pPr>
            <w:r>
              <w:rPr>
                <w:rFonts w:hint="eastAsia" w:ascii="宋体" w:hAnsi="宋体" w:eastAsia="华文仿宋"/>
                <w:sz w:val="28"/>
                <w:szCs w:val="28"/>
              </w:rPr>
              <w:t>民    族</w:t>
            </w:r>
          </w:p>
        </w:tc>
        <w:tc>
          <w:tcPr>
            <w:tcW w:w="1808" w:type="dxa"/>
            <w:gridSpan w:val="2"/>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eastAsia="华文仿宋"/>
                <w:sz w:val="28"/>
                <w:szCs w:val="28"/>
              </w:rPr>
            </w:pPr>
            <w:r>
              <w:rPr>
                <w:rFonts w:ascii="宋体" w:hAnsi="宋体" w:eastAsia="华文仿宋"/>
                <w:sz w:val="28"/>
                <w:szCs w:val="28"/>
              </w:rPr>
              <w:t>汉</w:t>
            </w:r>
          </w:p>
        </w:tc>
        <w:tc>
          <w:tcPr>
            <w:tcW w:w="1808" w:type="dxa"/>
            <w:vMerge w:val="continue"/>
            <w:tcBorders>
              <w:left w:val="single" w:color="auto" w:sz="4" w:space="0"/>
              <w:bottom w:val="single" w:color="auto" w:sz="4" w:space="0"/>
              <w:right w:val="single" w:color="auto" w:sz="4" w:space="0"/>
            </w:tcBorders>
            <w:vAlign w:val="center"/>
          </w:tcPr>
          <w:p>
            <w:pPr>
              <w:spacing w:line="400" w:lineRule="exact"/>
              <w:jc w:val="center"/>
              <w:rPr>
                <w:rFonts w:ascii="宋体" w:hAnsi="宋体" w:eastAsia="华文仿宋"/>
                <w:sz w:val="28"/>
                <w:szCs w:val="28"/>
              </w:rPr>
            </w:pPr>
          </w:p>
        </w:tc>
      </w:tr>
      <w:tr>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fixed"/>
          <w:tblCellMar>
            <w:top w:w="0" w:type="dxa"/>
            <w:left w:w="108" w:type="dxa"/>
            <w:bottom w:w="0" w:type="dxa"/>
            <w:right w:w="108" w:type="dxa"/>
          </w:tblCellMar>
        </w:tblPrEx>
        <w:trPr>
          <w:trHeight w:val="559" w:hRule="atLeast"/>
          <w:jc w:val="center"/>
        </w:trPr>
        <w:tc>
          <w:tcPr>
            <w:tcW w:w="1807"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eastAsia="华文仿宋"/>
                <w:spacing w:val="-4"/>
                <w:sz w:val="28"/>
                <w:szCs w:val="28"/>
              </w:rPr>
            </w:pPr>
            <w:r>
              <w:rPr>
                <w:rFonts w:hint="eastAsia" w:ascii="宋体" w:hAnsi="宋体" w:eastAsia="华文仿宋"/>
                <w:sz w:val="28"/>
                <w:szCs w:val="28"/>
              </w:rPr>
              <w:t>学    历</w:t>
            </w:r>
          </w:p>
        </w:tc>
        <w:tc>
          <w:tcPr>
            <w:tcW w:w="1808"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eastAsia="华文仿宋"/>
                <w:sz w:val="28"/>
                <w:szCs w:val="28"/>
              </w:rPr>
            </w:pPr>
            <w:r>
              <w:rPr>
                <w:rFonts w:ascii="宋体" w:hAnsi="宋体" w:eastAsia="华文仿宋"/>
                <w:sz w:val="28"/>
                <w:szCs w:val="28"/>
              </w:rPr>
              <w:t>博士研究生</w:t>
            </w:r>
          </w:p>
        </w:tc>
        <w:tc>
          <w:tcPr>
            <w:tcW w:w="1808" w:type="dxa"/>
            <w:gridSpan w:val="2"/>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eastAsia="华文仿宋"/>
                <w:sz w:val="28"/>
                <w:szCs w:val="28"/>
              </w:rPr>
            </w:pPr>
            <w:r>
              <w:rPr>
                <w:rFonts w:hint="eastAsia" w:ascii="宋体" w:hAnsi="宋体" w:eastAsia="华文仿宋"/>
                <w:sz w:val="28"/>
                <w:szCs w:val="28"/>
              </w:rPr>
              <w:t>学    位</w:t>
            </w:r>
          </w:p>
        </w:tc>
        <w:tc>
          <w:tcPr>
            <w:tcW w:w="1808" w:type="dxa"/>
            <w:gridSpan w:val="2"/>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eastAsia="华文仿宋"/>
                <w:sz w:val="28"/>
                <w:szCs w:val="28"/>
              </w:rPr>
            </w:pPr>
            <w:r>
              <w:rPr>
                <w:rFonts w:ascii="宋体" w:hAnsi="宋体" w:eastAsia="华文仿宋"/>
                <w:sz w:val="28"/>
                <w:szCs w:val="28"/>
              </w:rPr>
              <w:t>博士</w:t>
            </w:r>
          </w:p>
        </w:tc>
        <w:tc>
          <w:tcPr>
            <w:tcW w:w="1808" w:type="dxa"/>
            <w:vMerge w:val="continue"/>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eastAsia="华文仿宋"/>
                <w:sz w:val="28"/>
                <w:szCs w:val="28"/>
              </w:rPr>
            </w:pPr>
          </w:p>
        </w:tc>
      </w:tr>
      <w:tr>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fixed"/>
          <w:tblCellMar>
            <w:top w:w="0" w:type="dxa"/>
            <w:left w:w="108" w:type="dxa"/>
            <w:bottom w:w="0" w:type="dxa"/>
            <w:right w:w="108" w:type="dxa"/>
          </w:tblCellMar>
        </w:tblPrEx>
        <w:trPr>
          <w:trHeight w:val="559" w:hRule="atLeast"/>
          <w:jc w:val="center"/>
        </w:trPr>
        <w:tc>
          <w:tcPr>
            <w:tcW w:w="1807"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eastAsia="华文仿宋"/>
                <w:spacing w:val="-4"/>
                <w:sz w:val="28"/>
                <w:szCs w:val="28"/>
              </w:rPr>
            </w:pPr>
            <w:r>
              <w:rPr>
                <w:rFonts w:hint="eastAsia" w:ascii="宋体" w:hAnsi="宋体" w:eastAsia="华文仿宋"/>
                <w:sz w:val="28"/>
                <w:szCs w:val="28"/>
              </w:rPr>
              <w:t>籍    贯</w:t>
            </w:r>
          </w:p>
        </w:tc>
        <w:tc>
          <w:tcPr>
            <w:tcW w:w="1808" w:type="dxa"/>
            <w:tcBorders>
              <w:top w:val="single" w:color="auto" w:sz="4" w:space="0"/>
              <w:left w:val="single" w:color="auto" w:sz="4" w:space="0"/>
              <w:bottom w:val="nil"/>
              <w:right w:val="single" w:color="auto" w:sz="4" w:space="0"/>
            </w:tcBorders>
            <w:vAlign w:val="center"/>
          </w:tcPr>
          <w:p>
            <w:pPr>
              <w:spacing w:line="400" w:lineRule="exact"/>
              <w:jc w:val="center"/>
              <w:rPr>
                <w:rFonts w:ascii="宋体" w:hAnsi="宋体" w:eastAsia="华文仿宋"/>
                <w:sz w:val="28"/>
                <w:szCs w:val="28"/>
              </w:rPr>
            </w:pPr>
            <w:r>
              <w:rPr>
                <w:rFonts w:ascii="宋体" w:hAnsi="宋体" w:eastAsia="华文仿宋"/>
                <w:sz w:val="28"/>
                <w:szCs w:val="28"/>
              </w:rPr>
              <w:t>河北</w:t>
            </w:r>
          </w:p>
        </w:tc>
        <w:tc>
          <w:tcPr>
            <w:tcW w:w="1808" w:type="dxa"/>
            <w:gridSpan w:val="2"/>
            <w:tcBorders>
              <w:top w:val="single" w:color="auto" w:sz="4" w:space="0"/>
              <w:left w:val="single" w:color="auto" w:sz="4" w:space="0"/>
              <w:bottom w:val="nil"/>
              <w:right w:val="single" w:color="auto" w:sz="4" w:space="0"/>
            </w:tcBorders>
            <w:vAlign w:val="center"/>
          </w:tcPr>
          <w:p>
            <w:pPr>
              <w:spacing w:line="400" w:lineRule="exact"/>
              <w:jc w:val="center"/>
              <w:rPr>
                <w:rFonts w:ascii="宋体" w:hAnsi="宋体" w:eastAsia="华文仿宋"/>
                <w:sz w:val="28"/>
                <w:szCs w:val="28"/>
              </w:rPr>
            </w:pPr>
            <w:r>
              <w:rPr>
                <w:rFonts w:hint="eastAsia" w:ascii="宋体" w:hAnsi="宋体" w:eastAsia="华文仿宋"/>
                <w:sz w:val="28"/>
                <w:szCs w:val="28"/>
              </w:rPr>
              <w:t>政治面貌</w:t>
            </w:r>
          </w:p>
        </w:tc>
        <w:tc>
          <w:tcPr>
            <w:tcW w:w="1808" w:type="dxa"/>
            <w:gridSpan w:val="2"/>
            <w:tcBorders>
              <w:top w:val="single" w:color="auto" w:sz="4" w:space="0"/>
              <w:left w:val="single" w:color="auto" w:sz="4" w:space="0"/>
              <w:bottom w:val="nil"/>
              <w:right w:val="single" w:color="auto" w:sz="4" w:space="0"/>
            </w:tcBorders>
            <w:vAlign w:val="center"/>
          </w:tcPr>
          <w:p>
            <w:pPr>
              <w:spacing w:line="400" w:lineRule="exact"/>
              <w:ind w:firstLine="560" w:firstLineChars="200"/>
              <w:rPr>
                <w:rFonts w:ascii="宋体" w:hAnsi="宋体" w:eastAsia="华文仿宋"/>
                <w:sz w:val="28"/>
                <w:szCs w:val="28"/>
              </w:rPr>
            </w:pPr>
            <w:r>
              <w:rPr>
                <w:rFonts w:ascii="宋体" w:hAnsi="宋体" w:eastAsia="华文仿宋"/>
                <w:sz w:val="28"/>
                <w:szCs w:val="28"/>
              </w:rPr>
              <w:t>群众</w:t>
            </w:r>
          </w:p>
        </w:tc>
        <w:tc>
          <w:tcPr>
            <w:tcW w:w="1808" w:type="dxa"/>
            <w:vMerge w:val="continue"/>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eastAsia="华文仿宋"/>
                <w:sz w:val="28"/>
                <w:szCs w:val="28"/>
              </w:rPr>
            </w:pPr>
          </w:p>
        </w:tc>
      </w:tr>
      <w:tr>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fixed"/>
          <w:tblCellMar>
            <w:top w:w="0" w:type="dxa"/>
            <w:left w:w="108" w:type="dxa"/>
            <w:bottom w:w="0" w:type="dxa"/>
            <w:right w:w="108" w:type="dxa"/>
          </w:tblCellMar>
        </w:tblPrEx>
        <w:trPr>
          <w:trHeight w:val="510" w:hRule="exact"/>
          <w:jc w:val="center"/>
        </w:trPr>
        <w:tc>
          <w:tcPr>
            <w:tcW w:w="1807"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eastAsia="华文仿宋"/>
                <w:spacing w:val="-20"/>
                <w:sz w:val="28"/>
                <w:szCs w:val="28"/>
              </w:rPr>
            </w:pPr>
            <w:r>
              <w:rPr>
                <w:rFonts w:hint="eastAsia" w:ascii="宋体" w:hAnsi="宋体" w:eastAsia="华文仿宋"/>
                <w:spacing w:val="-20"/>
                <w:sz w:val="28"/>
                <w:szCs w:val="28"/>
              </w:rPr>
              <w:t>专业技术职务</w:t>
            </w:r>
          </w:p>
        </w:tc>
        <w:tc>
          <w:tcPr>
            <w:tcW w:w="1808"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eastAsia="华文仿宋"/>
                <w:sz w:val="28"/>
                <w:szCs w:val="28"/>
              </w:rPr>
            </w:pPr>
            <w:r>
              <w:rPr>
                <w:rFonts w:ascii="宋体" w:hAnsi="宋体" w:eastAsia="华文仿宋"/>
                <w:sz w:val="28"/>
                <w:szCs w:val="28"/>
              </w:rPr>
              <w:t>教授</w:t>
            </w:r>
          </w:p>
        </w:tc>
        <w:tc>
          <w:tcPr>
            <w:tcW w:w="1808" w:type="dxa"/>
            <w:gridSpan w:val="2"/>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eastAsia="华文仿宋"/>
                <w:spacing w:val="-20"/>
                <w:sz w:val="28"/>
                <w:szCs w:val="28"/>
              </w:rPr>
            </w:pPr>
            <w:r>
              <w:rPr>
                <w:rFonts w:hint="eastAsia" w:ascii="宋体" w:hAnsi="宋体" w:eastAsia="华文仿宋"/>
                <w:sz w:val="28"/>
                <w:szCs w:val="28"/>
              </w:rPr>
              <w:t>专业专长</w:t>
            </w:r>
          </w:p>
        </w:tc>
        <w:tc>
          <w:tcPr>
            <w:tcW w:w="3616" w:type="dxa"/>
            <w:gridSpan w:val="3"/>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eastAsia="华文仿宋"/>
                <w:sz w:val="28"/>
                <w:szCs w:val="28"/>
              </w:rPr>
            </w:pPr>
            <w:r>
              <w:rPr>
                <w:rFonts w:ascii="宋体" w:hAnsi="宋体" w:eastAsia="华文仿宋"/>
                <w:sz w:val="28"/>
                <w:szCs w:val="28"/>
              </w:rPr>
              <w:t>教学科研</w:t>
            </w:r>
          </w:p>
        </w:tc>
      </w:tr>
      <w:tr>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fixed"/>
          <w:tblCellMar>
            <w:top w:w="0" w:type="dxa"/>
            <w:left w:w="108" w:type="dxa"/>
            <w:bottom w:w="0" w:type="dxa"/>
            <w:right w:w="108" w:type="dxa"/>
          </w:tblCellMar>
        </w:tblPrEx>
        <w:trPr>
          <w:trHeight w:val="559" w:hRule="atLeast"/>
          <w:jc w:val="center"/>
        </w:trPr>
        <w:tc>
          <w:tcPr>
            <w:tcW w:w="1807" w:type="dxa"/>
            <w:tcBorders>
              <w:left w:val="single" w:color="auto" w:sz="4" w:space="0"/>
              <w:bottom w:val="single" w:color="auto" w:sz="4" w:space="0"/>
              <w:right w:val="single" w:color="auto" w:sz="4" w:space="0"/>
            </w:tcBorders>
            <w:vAlign w:val="center"/>
          </w:tcPr>
          <w:p>
            <w:pPr>
              <w:spacing w:line="400" w:lineRule="exact"/>
              <w:jc w:val="center"/>
              <w:rPr>
                <w:rFonts w:ascii="宋体" w:hAnsi="宋体" w:eastAsia="华文仿宋"/>
                <w:spacing w:val="-20"/>
                <w:sz w:val="28"/>
                <w:szCs w:val="28"/>
              </w:rPr>
            </w:pPr>
            <w:r>
              <w:rPr>
                <w:rFonts w:hint="eastAsia" w:ascii="宋体" w:hAnsi="宋体" w:eastAsia="华文仿宋"/>
                <w:spacing w:val="-20"/>
                <w:sz w:val="28"/>
                <w:szCs w:val="28"/>
              </w:rPr>
              <w:t>身份证号码</w:t>
            </w:r>
          </w:p>
        </w:tc>
        <w:tc>
          <w:tcPr>
            <w:tcW w:w="7232" w:type="dxa"/>
            <w:gridSpan w:val="6"/>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eastAsia="华文仿宋"/>
                <w:sz w:val="28"/>
                <w:szCs w:val="28"/>
              </w:rPr>
            </w:pPr>
          </w:p>
        </w:tc>
      </w:tr>
      <w:tr>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fixed"/>
          <w:tblCellMar>
            <w:top w:w="0" w:type="dxa"/>
            <w:left w:w="108" w:type="dxa"/>
            <w:bottom w:w="0" w:type="dxa"/>
            <w:right w:w="108" w:type="dxa"/>
          </w:tblCellMar>
        </w:tblPrEx>
        <w:trPr>
          <w:trHeight w:val="794" w:hRule="exact"/>
          <w:jc w:val="center"/>
        </w:trPr>
        <w:tc>
          <w:tcPr>
            <w:tcW w:w="1807" w:type="dxa"/>
            <w:tcBorders>
              <w:top w:val="single" w:color="auto" w:sz="4" w:space="0"/>
              <w:left w:val="single" w:color="auto" w:sz="4" w:space="0"/>
              <w:bottom w:val="single" w:color="auto" w:sz="4" w:space="0"/>
              <w:right w:val="single" w:color="auto" w:sz="4" w:space="0"/>
            </w:tcBorders>
            <w:vAlign w:val="center"/>
          </w:tcPr>
          <w:p>
            <w:pPr>
              <w:spacing w:line="340" w:lineRule="exact"/>
              <w:jc w:val="center"/>
              <w:rPr>
                <w:rFonts w:ascii="宋体" w:hAnsi="宋体" w:eastAsia="华文仿宋"/>
                <w:sz w:val="28"/>
                <w:szCs w:val="28"/>
              </w:rPr>
            </w:pPr>
            <w:r>
              <w:rPr>
                <w:rFonts w:hint="eastAsia" w:ascii="宋体" w:hAnsi="宋体" w:eastAsia="华文仿宋"/>
                <w:sz w:val="28"/>
                <w:szCs w:val="28"/>
              </w:rPr>
              <w:t>工作单位及</w:t>
            </w:r>
          </w:p>
          <w:p>
            <w:pPr>
              <w:spacing w:line="340" w:lineRule="exact"/>
              <w:jc w:val="center"/>
              <w:rPr>
                <w:rFonts w:ascii="宋体" w:hAnsi="宋体" w:eastAsia="华文仿宋"/>
                <w:sz w:val="28"/>
                <w:szCs w:val="28"/>
              </w:rPr>
            </w:pPr>
            <w:r>
              <w:rPr>
                <w:rFonts w:hint="eastAsia" w:ascii="宋体" w:hAnsi="宋体" w:eastAsia="华文仿宋"/>
                <w:sz w:val="28"/>
                <w:szCs w:val="28"/>
              </w:rPr>
              <w:t>行政职务</w:t>
            </w:r>
          </w:p>
        </w:tc>
        <w:tc>
          <w:tcPr>
            <w:tcW w:w="7232" w:type="dxa"/>
            <w:gridSpan w:val="6"/>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eastAsia="华文仿宋"/>
                <w:sz w:val="28"/>
                <w:szCs w:val="28"/>
              </w:rPr>
            </w:pPr>
            <w:r>
              <w:rPr>
                <w:rFonts w:ascii="宋体" w:hAnsi="宋体" w:eastAsia="华文仿宋"/>
                <w:sz w:val="28"/>
                <w:szCs w:val="28"/>
              </w:rPr>
              <w:t>福州大学物理与信息工程学院</w:t>
            </w:r>
            <w:r>
              <w:rPr>
                <w:rFonts w:hint="eastAsia" w:ascii="宋体" w:hAnsi="宋体" w:eastAsia="华文仿宋"/>
                <w:sz w:val="28"/>
                <w:szCs w:val="28"/>
              </w:rPr>
              <w:t xml:space="preserve"> 无行政职务</w:t>
            </w:r>
          </w:p>
        </w:tc>
      </w:tr>
      <w:tr>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fixed"/>
          <w:tblCellMar>
            <w:top w:w="0" w:type="dxa"/>
            <w:left w:w="108" w:type="dxa"/>
            <w:bottom w:w="0" w:type="dxa"/>
            <w:right w:w="108" w:type="dxa"/>
          </w:tblCellMar>
        </w:tblPrEx>
        <w:trPr>
          <w:trHeight w:val="613" w:hRule="atLeast"/>
          <w:jc w:val="center"/>
        </w:trPr>
        <w:tc>
          <w:tcPr>
            <w:tcW w:w="1807"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eastAsia="华文仿宋"/>
                <w:sz w:val="28"/>
                <w:szCs w:val="28"/>
              </w:rPr>
            </w:pPr>
            <w:r>
              <w:rPr>
                <w:rFonts w:hint="eastAsia" w:ascii="宋体" w:hAnsi="宋体" w:eastAsia="华文仿宋"/>
                <w:sz w:val="28"/>
                <w:szCs w:val="28"/>
              </w:rPr>
              <w:t>通信地址</w:t>
            </w:r>
          </w:p>
        </w:tc>
        <w:tc>
          <w:tcPr>
            <w:tcW w:w="7232" w:type="dxa"/>
            <w:gridSpan w:val="6"/>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eastAsia="华文仿宋"/>
                <w:sz w:val="28"/>
                <w:szCs w:val="28"/>
              </w:rPr>
            </w:pPr>
            <w:r>
              <w:rPr>
                <w:rFonts w:ascii="宋体" w:hAnsi="宋体" w:eastAsia="华文仿宋"/>
                <w:sz w:val="28"/>
                <w:szCs w:val="28"/>
              </w:rPr>
              <w:t>福建省福州市大学城学园路2号福州大学</w:t>
            </w:r>
          </w:p>
        </w:tc>
      </w:tr>
      <w:tr>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fixed"/>
          <w:tblCellMar>
            <w:top w:w="0" w:type="dxa"/>
            <w:left w:w="108" w:type="dxa"/>
            <w:bottom w:w="0" w:type="dxa"/>
            <w:right w:w="108" w:type="dxa"/>
          </w:tblCellMar>
        </w:tblPrEx>
        <w:trPr>
          <w:trHeight w:val="510" w:hRule="atLeast"/>
          <w:jc w:val="center"/>
        </w:trPr>
        <w:tc>
          <w:tcPr>
            <w:tcW w:w="1807"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eastAsia="华文仿宋"/>
                <w:sz w:val="28"/>
                <w:szCs w:val="28"/>
              </w:rPr>
            </w:pPr>
            <w:r>
              <w:rPr>
                <w:rFonts w:hint="eastAsia" w:ascii="宋体" w:hAnsi="宋体" w:eastAsia="华文仿宋"/>
                <w:sz w:val="28"/>
                <w:szCs w:val="28"/>
              </w:rPr>
              <w:t>省属/中央驻闽单位</w:t>
            </w:r>
          </w:p>
        </w:tc>
        <w:tc>
          <w:tcPr>
            <w:tcW w:w="2771" w:type="dxa"/>
            <w:gridSpan w:val="2"/>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eastAsia="华文仿宋"/>
                <w:sz w:val="28"/>
                <w:szCs w:val="28"/>
              </w:rPr>
            </w:pPr>
            <w:r>
              <w:rPr>
                <w:rFonts w:ascii="宋体" w:hAnsi="宋体" w:eastAsia="华文仿宋"/>
                <w:sz w:val="28"/>
                <w:szCs w:val="28"/>
              </w:rPr>
              <w:t>省属</w:t>
            </w:r>
          </w:p>
        </w:tc>
        <w:tc>
          <w:tcPr>
            <w:tcW w:w="1842" w:type="dxa"/>
            <w:gridSpan w:val="2"/>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eastAsia="华文仿宋"/>
                <w:sz w:val="28"/>
                <w:szCs w:val="28"/>
              </w:rPr>
            </w:pPr>
            <w:r>
              <w:rPr>
                <w:rFonts w:hint="eastAsia" w:ascii="宋体" w:hAnsi="宋体" w:eastAsia="华文仿宋"/>
                <w:sz w:val="28"/>
                <w:szCs w:val="28"/>
              </w:rPr>
              <w:t>邮政编码</w:t>
            </w:r>
          </w:p>
        </w:tc>
        <w:tc>
          <w:tcPr>
            <w:tcW w:w="2619" w:type="dxa"/>
            <w:gridSpan w:val="2"/>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eastAsia="华文仿宋"/>
                <w:sz w:val="28"/>
                <w:szCs w:val="28"/>
              </w:rPr>
            </w:pPr>
            <w:r>
              <w:rPr>
                <w:rFonts w:ascii="宋体" w:hAnsi="宋体" w:eastAsia="华文仿宋"/>
                <w:sz w:val="28"/>
                <w:szCs w:val="28"/>
              </w:rPr>
              <w:t>350116</w:t>
            </w:r>
          </w:p>
        </w:tc>
      </w:tr>
      <w:tr>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fixed"/>
          <w:tblCellMar>
            <w:top w:w="0" w:type="dxa"/>
            <w:left w:w="108" w:type="dxa"/>
            <w:bottom w:w="0" w:type="dxa"/>
            <w:right w:w="108" w:type="dxa"/>
          </w:tblCellMar>
        </w:tblPrEx>
        <w:trPr>
          <w:trHeight w:val="510" w:hRule="atLeast"/>
          <w:jc w:val="center"/>
        </w:trPr>
        <w:tc>
          <w:tcPr>
            <w:tcW w:w="1807"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eastAsia="华文仿宋"/>
                <w:sz w:val="28"/>
                <w:szCs w:val="28"/>
              </w:rPr>
            </w:pPr>
            <w:r>
              <w:rPr>
                <w:rFonts w:hint="eastAsia" w:ascii="宋体" w:hAnsi="宋体" w:eastAsia="华文仿宋"/>
                <w:sz w:val="28"/>
                <w:szCs w:val="28"/>
              </w:rPr>
              <w:t>办公电话</w:t>
            </w:r>
          </w:p>
        </w:tc>
        <w:tc>
          <w:tcPr>
            <w:tcW w:w="2771" w:type="dxa"/>
            <w:gridSpan w:val="2"/>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eastAsia="华文仿宋"/>
                <w:sz w:val="28"/>
                <w:szCs w:val="28"/>
              </w:rPr>
            </w:pPr>
            <w:r>
              <w:rPr>
                <w:rFonts w:ascii="宋体" w:hAnsi="宋体" w:eastAsia="华文仿宋"/>
                <w:sz w:val="28"/>
                <w:szCs w:val="28"/>
              </w:rPr>
              <w:t>无</w:t>
            </w:r>
          </w:p>
        </w:tc>
        <w:tc>
          <w:tcPr>
            <w:tcW w:w="1842" w:type="dxa"/>
            <w:gridSpan w:val="2"/>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eastAsia="华文仿宋"/>
                <w:sz w:val="28"/>
                <w:szCs w:val="28"/>
              </w:rPr>
            </w:pPr>
            <w:r>
              <w:rPr>
                <w:rFonts w:hint="eastAsia" w:ascii="宋体" w:hAnsi="宋体" w:eastAsia="华文仿宋"/>
                <w:sz w:val="28"/>
                <w:szCs w:val="28"/>
              </w:rPr>
              <w:t>手    机</w:t>
            </w:r>
          </w:p>
        </w:tc>
        <w:tc>
          <w:tcPr>
            <w:tcW w:w="2619" w:type="dxa"/>
            <w:gridSpan w:val="2"/>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eastAsia="华文仿宋"/>
                <w:sz w:val="28"/>
                <w:szCs w:val="28"/>
              </w:rPr>
            </w:pPr>
          </w:p>
        </w:tc>
      </w:tr>
      <w:tr>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fixed"/>
          <w:tblCellMar>
            <w:top w:w="0" w:type="dxa"/>
            <w:left w:w="108" w:type="dxa"/>
            <w:bottom w:w="0" w:type="dxa"/>
            <w:right w:w="108" w:type="dxa"/>
          </w:tblCellMar>
        </w:tblPrEx>
        <w:trPr>
          <w:trHeight w:val="510" w:hRule="atLeast"/>
          <w:jc w:val="center"/>
        </w:trPr>
        <w:tc>
          <w:tcPr>
            <w:tcW w:w="1807"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eastAsia="华文仿宋"/>
                <w:sz w:val="28"/>
                <w:szCs w:val="28"/>
              </w:rPr>
            </w:pPr>
            <w:r>
              <w:rPr>
                <w:rFonts w:hint="eastAsia" w:ascii="宋体" w:hAnsi="宋体" w:eastAsia="华文仿宋"/>
                <w:sz w:val="28"/>
                <w:szCs w:val="28"/>
              </w:rPr>
              <w:t>传真号码</w:t>
            </w:r>
          </w:p>
        </w:tc>
        <w:tc>
          <w:tcPr>
            <w:tcW w:w="2771" w:type="dxa"/>
            <w:gridSpan w:val="2"/>
            <w:tcBorders>
              <w:top w:val="single" w:color="auto" w:sz="4" w:space="0"/>
              <w:left w:val="single" w:color="auto" w:sz="4" w:space="0"/>
              <w:bottom w:val="single" w:color="auto" w:sz="4" w:space="0"/>
            </w:tcBorders>
            <w:vAlign w:val="center"/>
          </w:tcPr>
          <w:p>
            <w:pPr>
              <w:spacing w:line="400" w:lineRule="exact"/>
              <w:jc w:val="center"/>
              <w:rPr>
                <w:rFonts w:ascii="宋体" w:hAnsi="宋体" w:eastAsia="华文仿宋"/>
                <w:sz w:val="28"/>
                <w:szCs w:val="28"/>
              </w:rPr>
            </w:pPr>
            <w:r>
              <w:rPr>
                <w:rFonts w:ascii="宋体" w:hAnsi="宋体" w:eastAsia="华文仿宋"/>
                <w:sz w:val="28"/>
                <w:szCs w:val="28"/>
              </w:rPr>
              <w:t>无</w:t>
            </w:r>
          </w:p>
        </w:tc>
        <w:tc>
          <w:tcPr>
            <w:tcW w:w="1842" w:type="dxa"/>
            <w:gridSpan w:val="2"/>
            <w:tcBorders>
              <w:top w:val="single" w:color="auto" w:sz="4" w:space="0"/>
              <w:left w:val="single" w:color="auto" w:sz="4" w:space="0"/>
              <w:bottom w:val="single" w:color="auto" w:sz="4" w:space="0"/>
            </w:tcBorders>
            <w:vAlign w:val="center"/>
          </w:tcPr>
          <w:p>
            <w:pPr>
              <w:spacing w:line="400" w:lineRule="exact"/>
              <w:jc w:val="center"/>
              <w:rPr>
                <w:rFonts w:ascii="宋体" w:hAnsi="宋体" w:eastAsia="华文仿宋"/>
                <w:sz w:val="28"/>
                <w:szCs w:val="28"/>
              </w:rPr>
            </w:pPr>
            <w:r>
              <w:rPr>
                <w:rFonts w:hint="eastAsia" w:ascii="宋体" w:hAnsi="宋体" w:eastAsia="华文仿宋"/>
                <w:sz w:val="28"/>
                <w:szCs w:val="28"/>
              </w:rPr>
              <w:t>电子信箱</w:t>
            </w:r>
          </w:p>
        </w:tc>
        <w:tc>
          <w:tcPr>
            <w:tcW w:w="2619" w:type="dxa"/>
            <w:gridSpan w:val="2"/>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eastAsia="华文仿宋"/>
                <w:sz w:val="28"/>
                <w:szCs w:val="28"/>
              </w:rPr>
            </w:pPr>
            <w:r>
              <w:rPr>
                <w:rFonts w:hint="eastAsia" w:ascii="宋体" w:hAnsi="宋体" w:eastAsia="华文仿宋"/>
                <w:sz w:val="28"/>
                <w:szCs w:val="28"/>
              </w:rPr>
              <w:t>t.zhao@fzu.edu.cn</w:t>
            </w:r>
          </w:p>
        </w:tc>
      </w:tr>
    </w:tbl>
    <w:p>
      <w:pPr>
        <w:rPr>
          <w:rFonts w:ascii="宋体" w:hAnsi="宋体" w:eastAsia="黑体"/>
          <w:sz w:val="30"/>
          <w:szCs w:val="30"/>
        </w:rPr>
      </w:pPr>
      <w:r>
        <w:rPr>
          <w:rFonts w:hint="eastAsia" w:ascii="宋体" w:hAnsi="宋体" w:eastAsia="黑体"/>
          <w:sz w:val="30"/>
          <w:szCs w:val="30"/>
        </w:rPr>
        <w:t>二、主要学历（从大专或大学填起）</w:t>
      </w:r>
    </w:p>
    <w:tbl>
      <w:tblPr>
        <w:tblStyle w:val="11"/>
        <w:tblW w:w="9039"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07"/>
        <w:gridCol w:w="3121"/>
        <w:gridCol w:w="2410"/>
        <w:gridCol w:w="17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exact"/>
          <w:jc w:val="center"/>
        </w:trPr>
        <w:tc>
          <w:tcPr>
            <w:tcW w:w="1807" w:type="dxa"/>
            <w:vAlign w:val="center"/>
          </w:tcPr>
          <w:p>
            <w:pPr>
              <w:spacing w:line="400" w:lineRule="exact"/>
              <w:jc w:val="center"/>
              <w:rPr>
                <w:rFonts w:ascii="宋体" w:hAnsi="宋体" w:eastAsia="华文仿宋"/>
                <w:spacing w:val="-20"/>
                <w:sz w:val="28"/>
                <w:szCs w:val="28"/>
              </w:rPr>
            </w:pPr>
            <w:r>
              <w:rPr>
                <w:rFonts w:hint="eastAsia" w:ascii="宋体" w:hAnsi="宋体" w:eastAsia="华文仿宋"/>
                <w:spacing w:val="-20"/>
                <w:sz w:val="28"/>
                <w:szCs w:val="28"/>
              </w:rPr>
              <w:t>起止年月</w:t>
            </w:r>
          </w:p>
        </w:tc>
        <w:tc>
          <w:tcPr>
            <w:tcW w:w="3121" w:type="dxa"/>
            <w:vAlign w:val="center"/>
          </w:tcPr>
          <w:p>
            <w:pPr>
              <w:spacing w:line="400" w:lineRule="exact"/>
              <w:jc w:val="center"/>
              <w:rPr>
                <w:rFonts w:ascii="宋体" w:hAnsi="宋体" w:eastAsia="华文仿宋"/>
                <w:sz w:val="28"/>
                <w:szCs w:val="28"/>
              </w:rPr>
            </w:pPr>
            <w:r>
              <w:rPr>
                <w:rFonts w:hint="eastAsia" w:ascii="宋体" w:hAnsi="宋体" w:eastAsia="华文仿宋"/>
                <w:sz w:val="28"/>
                <w:szCs w:val="28"/>
              </w:rPr>
              <w:t>校（院）及系名称</w:t>
            </w:r>
          </w:p>
        </w:tc>
        <w:tc>
          <w:tcPr>
            <w:tcW w:w="2410" w:type="dxa"/>
            <w:vAlign w:val="center"/>
          </w:tcPr>
          <w:p>
            <w:pPr>
              <w:spacing w:line="400" w:lineRule="exact"/>
              <w:jc w:val="center"/>
              <w:rPr>
                <w:rFonts w:ascii="宋体" w:hAnsi="宋体" w:eastAsia="华文仿宋"/>
                <w:spacing w:val="-20"/>
                <w:sz w:val="28"/>
                <w:szCs w:val="28"/>
              </w:rPr>
            </w:pPr>
            <w:r>
              <w:rPr>
                <w:rFonts w:hint="eastAsia" w:ascii="宋体" w:hAnsi="宋体" w:eastAsia="华文仿宋"/>
                <w:spacing w:val="-20"/>
                <w:sz w:val="28"/>
                <w:szCs w:val="28"/>
              </w:rPr>
              <w:t>专业</w:t>
            </w:r>
          </w:p>
        </w:tc>
        <w:tc>
          <w:tcPr>
            <w:tcW w:w="1701" w:type="dxa"/>
            <w:vAlign w:val="center"/>
          </w:tcPr>
          <w:p>
            <w:pPr>
              <w:spacing w:line="400" w:lineRule="exact"/>
              <w:jc w:val="center"/>
              <w:rPr>
                <w:rFonts w:ascii="宋体" w:hAnsi="宋体" w:eastAsia="华文仿宋"/>
                <w:sz w:val="28"/>
                <w:szCs w:val="28"/>
              </w:rPr>
            </w:pPr>
            <w:r>
              <w:rPr>
                <w:rFonts w:hint="eastAsia" w:ascii="宋体" w:hAnsi="宋体" w:eastAsia="华文仿宋"/>
                <w:sz w:val="28"/>
                <w:szCs w:val="28"/>
              </w:rPr>
              <w:t>学位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07" w:hRule="exact"/>
          <w:jc w:val="center"/>
        </w:trPr>
        <w:tc>
          <w:tcPr>
            <w:tcW w:w="1807" w:type="dxa"/>
            <w:vAlign w:val="center"/>
          </w:tcPr>
          <w:p>
            <w:pPr>
              <w:spacing w:line="400" w:lineRule="exact"/>
              <w:jc w:val="center"/>
              <w:rPr>
                <w:rFonts w:ascii="宋体" w:hAnsi="宋体" w:eastAsia="华文仿宋"/>
                <w:spacing w:val="-20"/>
                <w:sz w:val="28"/>
                <w:szCs w:val="28"/>
              </w:rPr>
            </w:pPr>
            <w:r>
              <w:rPr>
                <w:rFonts w:hint="eastAsia" w:ascii="宋体" w:hAnsi="宋体" w:eastAsia="华文仿宋"/>
                <w:spacing w:val="-20"/>
                <w:sz w:val="28"/>
                <w:szCs w:val="28"/>
              </w:rPr>
              <w:t>2002.09-2006.06</w:t>
            </w:r>
          </w:p>
        </w:tc>
        <w:tc>
          <w:tcPr>
            <w:tcW w:w="3121" w:type="dxa"/>
            <w:vAlign w:val="center"/>
          </w:tcPr>
          <w:p>
            <w:pPr>
              <w:spacing w:line="400" w:lineRule="exact"/>
              <w:jc w:val="center"/>
              <w:rPr>
                <w:rFonts w:ascii="宋体" w:hAnsi="宋体" w:eastAsia="华文仿宋"/>
                <w:sz w:val="28"/>
                <w:szCs w:val="28"/>
              </w:rPr>
            </w:pPr>
            <w:r>
              <w:rPr>
                <w:rFonts w:hint="eastAsia" w:ascii="宋体" w:hAnsi="宋体" w:eastAsia="华文仿宋"/>
                <w:sz w:val="28"/>
                <w:szCs w:val="28"/>
              </w:rPr>
              <w:t>中国科学技术大学 电子工程与信息科学系</w:t>
            </w:r>
          </w:p>
        </w:tc>
        <w:tc>
          <w:tcPr>
            <w:tcW w:w="2410" w:type="dxa"/>
            <w:vAlign w:val="center"/>
          </w:tcPr>
          <w:p>
            <w:pPr>
              <w:spacing w:line="400" w:lineRule="exact"/>
              <w:jc w:val="center"/>
              <w:rPr>
                <w:rFonts w:ascii="宋体" w:hAnsi="宋体" w:eastAsia="华文仿宋"/>
                <w:spacing w:val="-20"/>
                <w:sz w:val="28"/>
                <w:szCs w:val="28"/>
              </w:rPr>
            </w:pPr>
            <w:r>
              <w:rPr>
                <w:rFonts w:ascii="宋体" w:hAnsi="宋体" w:eastAsia="华文仿宋"/>
                <w:spacing w:val="-20"/>
                <w:sz w:val="28"/>
                <w:szCs w:val="28"/>
              </w:rPr>
              <w:t>电子信息工程</w:t>
            </w:r>
          </w:p>
        </w:tc>
        <w:tc>
          <w:tcPr>
            <w:tcW w:w="1701" w:type="dxa"/>
            <w:vAlign w:val="center"/>
          </w:tcPr>
          <w:p>
            <w:pPr>
              <w:spacing w:line="400" w:lineRule="exact"/>
              <w:jc w:val="center"/>
              <w:rPr>
                <w:rFonts w:ascii="宋体" w:hAnsi="宋体" w:eastAsia="华文仿宋"/>
                <w:sz w:val="28"/>
                <w:szCs w:val="28"/>
              </w:rPr>
            </w:pPr>
            <w:r>
              <w:rPr>
                <w:rFonts w:ascii="宋体" w:hAnsi="宋体" w:eastAsia="华文仿宋"/>
                <w:sz w:val="28"/>
                <w:szCs w:val="28"/>
              </w:rPr>
              <w:t>学士</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07" w:hRule="exact"/>
          <w:jc w:val="center"/>
        </w:trPr>
        <w:tc>
          <w:tcPr>
            <w:tcW w:w="1807" w:type="dxa"/>
            <w:vAlign w:val="center"/>
          </w:tcPr>
          <w:p>
            <w:pPr>
              <w:spacing w:line="400" w:lineRule="exact"/>
              <w:jc w:val="center"/>
              <w:rPr>
                <w:rFonts w:ascii="宋体" w:hAnsi="宋体" w:eastAsia="华文仿宋"/>
                <w:spacing w:val="-20"/>
                <w:sz w:val="28"/>
                <w:szCs w:val="28"/>
              </w:rPr>
            </w:pPr>
            <w:r>
              <w:rPr>
                <w:rFonts w:ascii="宋体" w:hAnsi="宋体" w:eastAsia="华文仿宋"/>
                <w:spacing w:val="-20"/>
                <w:sz w:val="28"/>
                <w:szCs w:val="28"/>
              </w:rPr>
              <w:t>2007.10-2011.09</w:t>
            </w:r>
          </w:p>
        </w:tc>
        <w:tc>
          <w:tcPr>
            <w:tcW w:w="3121" w:type="dxa"/>
            <w:vAlign w:val="center"/>
          </w:tcPr>
          <w:p>
            <w:pPr>
              <w:spacing w:line="400" w:lineRule="exact"/>
              <w:jc w:val="center"/>
              <w:rPr>
                <w:rFonts w:ascii="宋体" w:hAnsi="宋体" w:eastAsia="华文仿宋"/>
                <w:sz w:val="28"/>
                <w:szCs w:val="28"/>
              </w:rPr>
            </w:pPr>
            <w:r>
              <w:rPr>
                <w:rFonts w:ascii="宋体" w:hAnsi="宋体" w:eastAsia="华文仿宋"/>
                <w:sz w:val="28"/>
                <w:szCs w:val="28"/>
              </w:rPr>
              <w:t>香港城市大学</w:t>
            </w:r>
            <w:r>
              <w:rPr>
                <w:rFonts w:hint="eastAsia" w:ascii="宋体" w:hAnsi="宋体" w:eastAsia="华文仿宋"/>
                <w:sz w:val="28"/>
                <w:szCs w:val="28"/>
              </w:rPr>
              <w:t xml:space="preserve"> 电脑科学系</w:t>
            </w:r>
          </w:p>
        </w:tc>
        <w:tc>
          <w:tcPr>
            <w:tcW w:w="2410" w:type="dxa"/>
            <w:vAlign w:val="center"/>
          </w:tcPr>
          <w:p>
            <w:pPr>
              <w:spacing w:line="400" w:lineRule="exact"/>
              <w:jc w:val="center"/>
              <w:rPr>
                <w:rFonts w:ascii="宋体" w:hAnsi="宋体" w:eastAsia="华文仿宋"/>
                <w:spacing w:val="-20"/>
                <w:sz w:val="28"/>
                <w:szCs w:val="28"/>
              </w:rPr>
            </w:pPr>
            <w:r>
              <w:rPr>
                <w:rFonts w:ascii="宋体" w:hAnsi="宋体" w:eastAsia="华文仿宋"/>
                <w:spacing w:val="-20"/>
                <w:sz w:val="28"/>
                <w:szCs w:val="28"/>
              </w:rPr>
              <w:t>计算机科学</w:t>
            </w:r>
          </w:p>
        </w:tc>
        <w:tc>
          <w:tcPr>
            <w:tcW w:w="1701" w:type="dxa"/>
            <w:vAlign w:val="center"/>
          </w:tcPr>
          <w:p>
            <w:pPr>
              <w:spacing w:line="400" w:lineRule="exact"/>
              <w:jc w:val="center"/>
              <w:rPr>
                <w:rFonts w:ascii="宋体" w:hAnsi="宋体" w:eastAsia="华文仿宋"/>
                <w:sz w:val="28"/>
                <w:szCs w:val="28"/>
              </w:rPr>
            </w:pPr>
            <w:r>
              <w:rPr>
                <w:rFonts w:ascii="宋体" w:hAnsi="宋体" w:eastAsia="华文仿宋"/>
                <w:sz w:val="28"/>
                <w:szCs w:val="28"/>
              </w:rPr>
              <w:t>博士</w:t>
            </w:r>
          </w:p>
        </w:tc>
      </w:tr>
    </w:tbl>
    <w:p>
      <w:pPr>
        <w:rPr>
          <w:rFonts w:ascii="宋体" w:hAnsi="宋体" w:eastAsia="黑体"/>
          <w:sz w:val="30"/>
          <w:szCs w:val="30"/>
        </w:rPr>
      </w:pPr>
      <w:r>
        <w:rPr>
          <w:rFonts w:hint="eastAsia" w:ascii="宋体" w:hAnsi="宋体" w:eastAsia="黑体"/>
          <w:sz w:val="30"/>
          <w:szCs w:val="30"/>
        </w:rPr>
        <w:t>三、主要经历</w:t>
      </w:r>
    </w:p>
    <w:tbl>
      <w:tblPr>
        <w:tblStyle w:val="11"/>
        <w:tblW w:w="9039" w:type="dxa"/>
        <w:jc w:val="center"/>
        <w:tblInd w:w="0" w:type="dxa"/>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fixed"/>
        <w:tblCellMar>
          <w:top w:w="0" w:type="dxa"/>
          <w:left w:w="108" w:type="dxa"/>
          <w:bottom w:w="0" w:type="dxa"/>
          <w:right w:w="108" w:type="dxa"/>
        </w:tblCellMar>
      </w:tblPr>
      <w:tblGrid>
        <w:gridCol w:w="1807"/>
        <w:gridCol w:w="4397"/>
        <w:gridCol w:w="2835"/>
      </w:tblGrid>
      <w:tr>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fixed"/>
          <w:tblCellMar>
            <w:top w:w="0" w:type="dxa"/>
            <w:left w:w="108" w:type="dxa"/>
            <w:bottom w:w="0" w:type="dxa"/>
            <w:right w:w="108" w:type="dxa"/>
          </w:tblCellMar>
        </w:tblPrEx>
        <w:trPr>
          <w:trHeight w:val="595" w:hRule="exact"/>
          <w:jc w:val="center"/>
        </w:trPr>
        <w:tc>
          <w:tcPr>
            <w:tcW w:w="1807"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eastAsia="华文仿宋"/>
                <w:spacing w:val="-20"/>
                <w:sz w:val="28"/>
                <w:szCs w:val="28"/>
              </w:rPr>
            </w:pPr>
            <w:r>
              <w:rPr>
                <w:rFonts w:hint="eastAsia" w:ascii="宋体" w:hAnsi="宋体" w:eastAsia="华文仿宋"/>
                <w:spacing w:val="-20"/>
                <w:sz w:val="28"/>
                <w:szCs w:val="28"/>
              </w:rPr>
              <w:t>起止年月</w:t>
            </w:r>
          </w:p>
        </w:tc>
        <w:tc>
          <w:tcPr>
            <w:tcW w:w="4397"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eastAsia="华文仿宋"/>
                <w:spacing w:val="-20"/>
                <w:sz w:val="28"/>
                <w:szCs w:val="28"/>
              </w:rPr>
            </w:pPr>
            <w:r>
              <w:rPr>
                <w:rFonts w:hint="eastAsia" w:ascii="宋体" w:hAnsi="宋体" w:eastAsia="华文仿宋"/>
                <w:spacing w:val="-20"/>
                <w:sz w:val="28"/>
                <w:szCs w:val="28"/>
              </w:rPr>
              <w:t>工作单位</w:t>
            </w:r>
          </w:p>
        </w:tc>
        <w:tc>
          <w:tcPr>
            <w:tcW w:w="2835"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eastAsia="华文仿宋"/>
                <w:sz w:val="28"/>
                <w:szCs w:val="28"/>
              </w:rPr>
            </w:pPr>
            <w:r>
              <w:rPr>
                <w:rFonts w:hint="eastAsia" w:ascii="宋体" w:hAnsi="宋体" w:eastAsia="华文仿宋"/>
                <w:sz w:val="28"/>
                <w:szCs w:val="28"/>
              </w:rPr>
              <w:t>职务/职称</w:t>
            </w:r>
          </w:p>
        </w:tc>
      </w:tr>
      <w:tr>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fixed"/>
          <w:tblCellMar>
            <w:top w:w="0" w:type="dxa"/>
            <w:left w:w="108" w:type="dxa"/>
            <w:bottom w:w="0" w:type="dxa"/>
            <w:right w:w="108" w:type="dxa"/>
          </w:tblCellMar>
        </w:tblPrEx>
        <w:trPr>
          <w:trHeight w:val="843" w:hRule="exact"/>
          <w:jc w:val="center"/>
        </w:trPr>
        <w:tc>
          <w:tcPr>
            <w:tcW w:w="1807"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eastAsia="华文仿宋"/>
                <w:spacing w:val="-20"/>
                <w:sz w:val="28"/>
                <w:szCs w:val="28"/>
              </w:rPr>
            </w:pPr>
            <w:r>
              <w:rPr>
                <w:rFonts w:ascii="宋体" w:hAnsi="宋体" w:eastAsia="华文仿宋"/>
                <w:spacing w:val="-20"/>
                <w:sz w:val="28"/>
                <w:szCs w:val="28"/>
              </w:rPr>
              <w:t>2016.09-2017.06</w:t>
            </w:r>
          </w:p>
        </w:tc>
        <w:tc>
          <w:tcPr>
            <w:tcW w:w="4397"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eastAsia="华文仿宋"/>
                <w:spacing w:val="-20"/>
                <w:sz w:val="28"/>
                <w:szCs w:val="28"/>
              </w:rPr>
            </w:pPr>
            <w:r>
              <w:rPr>
                <w:rFonts w:ascii="宋体" w:hAnsi="宋体" w:eastAsia="华文仿宋"/>
                <w:spacing w:val="-20"/>
                <w:sz w:val="28"/>
                <w:szCs w:val="28"/>
              </w:rPr>
              <w:t>中国科学技术大学信息处理中心</w:t>
            </w:r>
          </w:p>
        </w:tc>
        <w:tc>
          <w:tcPr>
            <w:tcW w:w="2835"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eastAsia="华文仿宋"/>
                <w:sz w:val="28"/>
                <w:szCs w:val="28"/>
              </w:rPr>
            </w:pPr>
            <w:r>
              <w:rPr>
                <w:rFonts w:ascii="宋体" w:hAnsi="宋体" w:eastAsia="华文仿宋"/>
                <w:sz w:val="28"/>
                <w:szCs w:val="28"/>
              </w:rPr>
              <w:t>实习生</w:t>
            </w:r>
          </w:p>
        </w:tc>
      </w:tr>
      <w:tr>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fixed"/>
          <w:tblCellMar>
            <w:top w:w="0" w:type="dxa"/>
            <w:left w:w="108" w:type="dxa"/>
            <w:bottom w:w="0" w:type="dxa"/>
            <w:right w:w="108" w:type="dxa"/>
          </w:tblCellMar>
        </w:tblPrEx>
        <w:trPr>
          <w:trHeight w:val="897" w:hRule="exact"/>
          <w:jc w:val="center"/>
        </w:trPr>
        <w:tc>
          <w:tcPr>
            <w:tcW w:w="1807"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eastAsia="华文仿宋"/>
                <w:spacing w:val="-20"/>
                <w:sz w:val="28"/>
                <w:szCs w:val="28"/>
              </w:rPr>
            </w:pPr>
            <w:r>
              <w:rPr>
                <w:rFonts w:ascii="宋体" w:hAnsi="宋体" w:eastAsia="华文仿宋"/>
                <w:spacing w:val="-20"/>
                <w:sz w:val="28"/>
                <w:szCs w:val="28"/>
              </w:rPr>
              <w:t>2011.10-2012.06</w:t>
            </w:r>
          </w:p>
        </w:tc>
        <w:tc>
          <w:tcPr>
            <w:tcW w:w="4397"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eastAsia="华文仿宋"/>
                <w:spacing w:val="-20"/>
                <w:sz w:val="28"/>
                <w:szCs w:val="28"/>
              </w:rPr>
            </w:pPr>
            <w:r>
              <w:rPr>
                <w:rFonts w:ascii="宋体" w:hAnsi="宋体" w:eastAsia="华文仿宋"/>
                <w:spacing w:val="-20"/>
                <w:sz w:val="28"/>
                <w:szCs w:val="28"/>
              </w:rPr>
              <w:t>香港城市大学</w:t>
            </w:r>
          </w:p>
        </w:tc>
        <w:tc>
          <w:tcPr>
            <w:tcW w:w="2835"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eastAsia="华文仿宋"/>
                <w:sz w:val="28"/>
                <w:szCs w:val="28"/>
              </w:rPr>
            </w:pPr>
            <w:r>
              <w:rPr>
                <w:rFonts w:ascii="宋体" w:hAnsi="宋体" w:eastAsia="华文仿宋"/>
                <w:sz w:val="28"/>
                <w:szCs w:val="28"/>
              </w:rPr>
              <w:t>副研究员（</w:t>
            </w:r>
            <w:r>
              <w:rPr>
                <w:rFonts w:hint="eastAsia" w:ascii="宋体" w:hAnsi="宋体" w:eastAsia="华文仿宋"/>
                <w:sz w:val="28"/>
                <w:szCs w:val="28"/>
              </w:rPr>
              <w:t>Research Associate</w:t>
            </w:r>
            <w:r>
              <w:rPr>
                <w:rFonts w:ascii="宋体" w:hAnsi="宋体" w:eastAsia="华文仿宋"/>
                <w:sz w:val="28"/>
                <w:szCs w:val="28"/>
              </w:rPr>
              <w:t>）</w:t>
            </w:r>
          </w:p>
        </w:tc>
      </w:tr>
      <w:tr>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fixed"/>
          <w:tblCellMar>
            <w:top w:w="0" w:type="dxa"/>
            <w:left w:w="108" w:type="dxa"/>
            <w:bottom w:w="0" w:type="dxa"/>
            <w:right w:w="108" w:type="dxa"/>
          </w:tblCellMar>
        </w:tblPrEx>
        <w:trPr>
          <w:trHeight w:val="816" w:hRule="exact"/>
          <w:jc w:val="center"/>
        </w:trPr>
        <w:tc>
          <w:tcPr>
            <w:tcW w:w="1807"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eastAsia="华文仿宋"/>
                <w:spacing w:val="-20"/>
                <w:sz w:val="28"/>
                <w:szCs w:val="28"/>
              </w:rPr>
            </w:pPr>
            <w:r>
              <w:rPr>
                <w:rFonts w:hint="eastAsia" w:ascii="宋体" w:hAnsi="宋体" w:eastAsia="华文仿宋"/>
                <w:spacing w:val="-20"/>
                <w:sz w:val="28"/>
                <w:szCs w:val="28"/>
              </w:rPr>
              <w:t>2012.08-2013.12</w:t>
            </w:r>
          </w:p>
        </w:tc>
        <w:tc>
          <w:tcPr>
            <w:tcW w:w="4397"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eastAsia="华文仿宋"/>
                <w:spacing w:val="-20"/>
                <w:sz w:val="28"/>
                <w:szCs w:val="28"/>
              </w:rPr>
            </w:pPr>
            <w:r>
              <w:rPr>
                <w:rFonts w:hint="eastAsia" w:ascii="宋体" w:hAnsi="宋体" w:eastAsia="华文仿宋"/>
                <w:spacing w:val="-20"/>
                <w:sz w:val="28"/>
                <w:szCs w:val="28"/>
              </w:rPr>
              <w:t>加拿大滑铁卢大学</w:t>
            </w:r>
          </w:p>
        </w:tc>
        <w:tc>
          <w:tcPr>
            <w:tcW w:w="2835"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eastAsia="华文仿宋"/>
                <w:sz w:val="28"/>
                <w:szCs w:val="28"/>
              </w:rPr>
            </w:pPr>
            <w:r>
              <w:rPr>
                <w:rFonts w:ascii="宋体" w:hAnsi="宋体" w:eastAsia="华文仿宋"/>
                <w:sz w:val="28"/>
                <w:szCs w:val="28"/>
              </w:rPr>
              <w:t>博士后</w:t>
            </w:r>
          </w:p>
        </w:tc>
      </w:tr>
      <w:tr>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fixed"/>
          <w:tblCellMar>
            <w:top w:w="0" w:type="dxa"/>
            <w:left w:w="108" w:type="dxa"/>
            <w:bottom w:w="0" w:type="dxa"/>
            <w:right w:w="108" w:type="dxa"/>
          </w:tblCellMar>
        </w:tblPrEx>
        <w:trPr>
          <w:trHeight w:val="807" w:hRule="exact"/>
          <w:jc w:val="center"/>
        </w:trPr>
        <w:tc>
          <w:tcPr>
            <w:tcW w:w="1807"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eastAsia="华文仿宋"/>
                <w:spacing w:val="-20"/>
                <w:sz w:val="28"/>
                <w:szCs w:val="28"/>
              </w:rPr>
            </w:pPr>
            <w:r>
              <w:rPr>
                <w:rFonts w:hint="eastAsia" w:ascii="宋体" w:hAnsi="宋体" w:eastAsia="华文仿宋"/>
                <w:spacing w:val="-20"/>
                <w:sz w:val="28"/>
                <w:szCs w:val="28"/>
              </w:rPr>
              <w:t>2014.01-2015.07</w:t>
            </w:r>
          </w:p>
        </w:tc>
        <w:tc>
          <w:tcPr>
            <w:tcW w:w="4397"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eastAsia="华文仿宋"/>
                <w:spacing w:val="-20"/>
                <w:sz w:val="28"/>
                <w:szCs w:val="28"/>
              </w:rPr>
            </w:pPr>
            <w:r>
              <w:rPr>
                <w:rFonts w:ascii="宋体" w:hAnsi="宋体" w:eastAsia="华文仿宋"/>
                <w:spacing w:val="-20"/>
                <w:sz w:val="28"/>
                <w:szCs w:val="28"/>
              </w:rPr>
              <w:t>美国纽约州立大学</w:t>
            </w:r>
          </w:p>
        </w:tc>
        <w:tc>
          <w:tcPr>
            <w:tcW w:w="2835"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eastAsia="华文仿宋"/>
                <w:sz w:val="28"/>
                <w:szCs w:val="28"/>
              </w:rPr>
            </w:pPr>
            <w:r>
              <w:rPr>
                <w:rFonts w:ascii="宋体" w:hAnsi="宋体" w:eastAsia="华文仿宋"/>
                <w:sz w:val="28"/>
                <w:szCs w:val="28"/>
              </w:rPr>
              <w:t>研究科学家</w:t>
            </w:r>
          </w:p>
        </w:tc>
      </w:tr>
      <w:tr>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fixed"/>
          <w:tblCellMar>
            <w:top w:w="0" w:type="dxa"/>
            <w:left w:w="108" w:type="dxa"/>
            <w:bottom w:w="0" w:type="dxa"/>
            <w:right w:w="108" w:type="dxa"/>
          </w:tblCellMar>
        </w:tblPrEx>
        <w:trPr>
          <w:trHeight w:val="807" w:hRule="exact"/>
          <w:jc w:val="center"/>
        </w:trPr>
        <w:tc>
          <w:tcPr>
            <w:tcW w:w="1807"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eastAsia="华文仿宋"/>
                <w:spacing w:val="-20"/>
                <w:sz w:val="28"/>
                <w:szCs w:val="28"/>
              </w:rPr>
            </w:pPr>
            <w:r>
              <w:rPr>
                <w:rFonts w:ascii="宋体" w:hAnsi="宋体" w:eastAsia="华文仿宋"/>
                <w:spacing w:val="-20"/>
                <w:sz w:val="28"/>
                <w:szCs w:val="28"/>
              </w:rPr>
              <w:t>2015.09-2016.05</w:t>
            </w:r>
          </w:p>
        </w:tc>
        <w:tc>
          <w:tcPr>
            <w:tcW w:w="4397"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eastAsia="华文仿宋"/>
                <w:spacing w:val="-20"/>
                <w:sz w:val="28"/>
                <w:szCs w:val="28"/>
              </w:rPr>
            </w:pPr>
            <w:r>
              <w:rPr>
                <w:rFonts w:ascii="宋体" w:hAnsi="宋体" w:eastAsia="华文仿宋"/>
                <w:spacing w:val="-20"/>
                <w:sz w:val="28"/>
                <w:szCs w:val="28"/>
              </w:rPr>
              <w:t>福州大学</w:t>
            </w:r>
          </w:p>
        </w:tc>
        <w:tc>
          <w:tcPr>
            <w:tcW w:w="2835"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eastAsia="华文仿宋"/>
                <w:sz w:val="28"/>
                <w:szCs w:val="28"/>
              </w:rPr>
            </w:pPr>
            <w:r>
              <w:rPr>
                <w:rFonts w:ascii="宋体" w:hAnsi="宋体" w:eastAsia="华文仿宋"/>
                <w:sz w:val="28"/>
                <w:szCs w:val="28"/>
              </w:rPr>
              <w:t>旗山学者（职称待评）</w:t>
            </w:r>
          </w:p>
        </w:tc>
      </w:tr>
      <w:tr>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fixed"/>
          <w:tblCellMar>
            <w:top w:w="0" w:type="dxa"/>
            <w:left w:w="108" w:type="dxa"/>
            <w:bottom w:w="0" w:type="dxa"/>
            <w:right w:w="108" w:type="dxa"/>
          </w:tblCellMar>
        </w:tblPrEx>
        <w:trPr>
          <w:trHeight w:val="595" w:hRule="exact"/>
          <w:jc w:val="center"/>
        </w:trPr>
        <w:tc>
          <w:tcPr>
            <w:tcW w:w="1807"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eastAsia="华文仿宋"/>
                <w:spacing w:val="-20"/>
                <w:sz w:val="28"/>
                <w:szCs w:val="28"/>
              </w:rPr>
            </w:pPr>
            <w:r>
              <w:rPr>
                <w:rFonts w:ascii="宋体" w:hAnsi="宋体" w:eastAsia="华文仿宋"/>
                <w:spacing w:val="-20"/>
                <w:sz w:val="28"/>
                <w:szCs w:val="28"/>
              </w:rPr>
              <w:t>2016.06-今</w:t>
            </w:r>
          </w:p>
        </w:tc>
        <w:tc>
          <w:tcPr>
            <w:tcW w:w="4397"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eastAsia="华文仿宋"/>
                <w:spacing w:val="-20"/>
                <w:sz w:val="28"/>
                <w:szCs w:val="28"/>
              </w:rPr>
            </w:pPr>
            <w:r>
              <w:rPr>
                <w:rFonts w:ascii="宋体" w:hAnsi="宋体" w:eastAsia="华文仿宋"/>
                <w:spacing w:val="-20"/>
                <w:sz w:val="28"/>
                <w:szCs w:val="28"/>
              </w:rPr>
              <w:t>福州大学</w:t>
            </w:r>
          </w:p>
        </w:tc>
        <w:tc>
          <w:tcPr>
            <w:tcW w:w="2835"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eastAsia="华文仿宋"/>
                <w:sz w:val="28"/>
                <w:szCs w:val="28"/>
              </w:rPr>
            </w:pPr>
            <w:r>
              <w:rPr>
                <w:rFonts w:ascii="宋体" w:hAnsi="宋体" w:eastAsia="华文仿宋"/>
                <w:sz w:val="28"/>
                <w:szCs w:val="28"/>
              </w:rPr>
              <w:t>教授</w:t>
            </w:r>
          </w:p>
        </w:tc>
      </w:tr>
    </w:tbl>
    <w:p>
      <w:pPr>
        <w:rPr>
          <w:rFonts w:ascii="宋体" w:hAnsi="宋体" w:eastAsia="黑体"/>
          <w:sz w:val="30"/>
          <w:szCs w:val="30"/>
        </w:rPr>
      </w:pPr>
      <w:r>
        <w:rPr>
          <w:rFonts w:hint="eastAsia" w:ascii="宋体" w:hAnsi="宋体" w:eastAsia="黑体"/>
          <w:sz w:val="30"/>
          <w:szCs w:val="30"/>
        </w:rPr>
        <w:t>四、重要学术任（兼）职</w:t>
      </w:r>
    </w:p>
    <w:tbl>
      <w:tblPr>
        <w:tblStyle w:val="11"/>
        <w:tblW w:w="9039" w:type="dxa"/>
        <w:jc w:val="center"/>
        <w:tblInd w:w="0" w:type="dxa"/>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fixed"/>
        <w:tblCellMar>
          <w:top w:w="0" w:type="dxa"/>
          <w:left w:w="108" w:type="dxa"/>
          <w:bottom w:w="0" w:type="dxa"/>
          <w:right w:w="108" w:type="dxa"/>
        </w:tblCellMar>
      </w:tblPr>
      <w:tblGrid>
        <w:gridCol w:w="1807"/>
        <w:gridCol w:w="4397"/>
        <w:gridCol w:w="2835"/>
      </w:tblGrid>
      <w:tr>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fixed"/>
          <w:tblCellMar>
            <w:top w:w="0" w:type="dxa"/>
            <w:left w:w="108" w:type="dxa"/>
            <w:bottom w:w="0" w:type="dxa"/>
            <w:right w:w="108" w:type="dxa"/>
          </w:tblCellMar>
        </w:tblPrEx>
        <w:trPr>
          <w:trHeight w:val="595" w:hRule="exact"/>
          <w:jc w:val="center"/>
        </w:trPr>
        <w:tc>
          <w:tcPr>
            <w:tcW w:w="1807"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eastAsia="华文仿宋"/>
                <w:spacing w:val="-20"/>
                <w:sz w:val="28"/>
                <w:szCs w:val="28"/>
              </w:rPr>
            </w:pPr>
            <w:r>
              <w:rPr>
                <w:rFonts w:hint="eastAsia" w:ascii="宋体" w:hAnsi="宋体" w:eastAsia="华文仿宋"/>
                <w:spacing w:val="-20"/>
                <w:sz w:val="28"/>
                <w:szCs w:val="28"/>
              </w:rPr>
              <w:t>起止年月</w:t>
            </w:r>
          </w:p>
        </w:tc>
        <w:tc>
          <w:tcPr>
            <w:tcW w:w="4397"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eastAsia="华文仿宋"/>
                <w:spacing w:val="-20"/>
                <w:sz w:val="28"/>
                <w:szCs w:val="28"/>
              </w:rPr>
            </w:pPr>
            <w:r>
              <w:rPr>
                <w:rFonts w:hint="eastAsia" w:ascii="宋体" w:hAnsi="宋体" w:eastAsia="华文仿宋"/>
                <w:spacing w:val="-20"/>
                <w:sz w:val="28"/>
                <w:szCs w:val="28"/>
              </w:rPr>
              <w:t>名     称</w:t>
            </w:r>
          </w:p>
        </w:tc>
        <w:tc>
          <w:tcPr>
            <w:tcW w:w="2835"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eastAsia="华文仿宋"/>
                <w:sz w:val="28"/>
                <w:szCs w:val="28"/>
              </w:rPr>
            </w:pPr>
            <w:r>
              <w:rPr>
                <w:rFonts w:hint="eastAsia" w:ascii="宋体" w:hAnsi="宋体" w:eastAsia="华文仿宋"/>
                <w:sz w:val="28"/>
                <w:szCs w:val="28"/>
              </w:rPr>
              <w:t>职务/职称</w:t>
            </w:r>
          </w:p>
        </w:tc>
      </w:tr>
      <w:tr>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fixed"/>
          <w:tblCellMar>
            <w:top w:w="0" w:type="dxa"/>
            <w:left w:w="108" w:type="dxa"/>
            <w:bottom w:w="0" w:type="dxa"/>
            <w:right w:w="108" w:type="dxa"/>
          </w:tblCellMar>
        </w:tblPrEx>
        <w:trPr>
          <w:trHeight w:val="707" w:hRule="exact"/>
          <w:jc w:val="center"/>
        </w:trPr>
        <w:tc>
          <w:tcPr>
            <w:tcW w:w="1807"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eastAsia="华文仿宋"/>
                <w:spacing w:val="-20"/>
                <w:sz w:val="28"/>
                <w:szCs w:val="28"/>
              </w:rPr>
            </w:pPr>
            <w:r>
              <w:rPr>
                <w:rFonts w:ascii="宋体" w:hAnsi="宋体" w:eastAsia="华文仿宋"/>
                <w:spacing w:val="-20"/>
                <w:sz w:val="28"/>
                <w:szCs w:val="28"/>
              </w:rPr>
              <w:t>2017.05-今</w:t>
            </w:r>
          </w:p>
        </w:tc>
        <w:tc>
          <w:tcPr>
            <w:tcW w:w="4397"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eastAsia="华文仿宋"/>
                <w:spacing w:val="-20"/>
                <w:sz w:val="28"/>
                <w:szCs w:val="28"/>
              </w:rPr>
            </w:pPr>
            <w:r>
              <w:rPr>
                <w:rFonts w:ascii="宋体" w:hAnsi="宋体" w:eastAsia="华文仿宋"/>
                <w:spacing w:val="-20"/>
                <w:sz w:val="28"/>
                <w:szCs w:val="28"/>
              </w:rPr>
              <w:t>中国计算机学会福州分会</w:t>
            </w:r>
          </w:p>
        </w:tc>
        <w:tc>
          <w:tcPr>
            <w:tcW w:w="2835"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eastAsia="华文仿宋"/>
                <w:sz w:val="28"/>
                <w:szCs w:val="28"/>
              </w:rPr>
            </w:pPr>
            <w:r>
              <w:rPr>
                <w:rFonts w:ascii="宋体" w:hAnsi="宋体" w:eastAsia="华文仿宋"/>
                <w:sz w:val="28"/>
                <w:szCs w:val="28"/>
              </w:rPr>
              <w:t>委员</w:t>
            </w:r>
          </w:p>
        </w:tc>
      </w:tr>
      <w:tr>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fixed"/>
          <w:tblCellMar>
            <w:top w:w="0" w:type="dxa"/>
            <w:left w:w="108" w:type="dxa"/>
            <w:bottom w:w="0" w:type="dxa"/>
            <w:right w:w="108" w:type="dxa"/>
          </w:tblCellMar>
        </w:tblPrEx>
        <w:trPr>
          <w:trHeight w:val="644" w:hRule="exact"/>
          <w:jc w:val="center"/>
        </w:trPr>
        <w:tc>
          <w:tcPr>
            <w:tcW w:w="1807"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eastAsia="华文仿宋"/>
                <w:spacing w:val="-20"/>
                <w:sz w:val="28"/>
                <w:szCs w:val="28"/>
              </w:rPr>
            </w:pPr>
            <w:r>
              <w:rPr>
                <w:rFonts w:ascii="宋体" w:hAnsi="宋体" w:eastAsia="华文仿宋"/>
                <w:spacing w:val="-20"/>
                <w:sz w:val="28"/>
                <w:szCs w:val="28"/>
              </w:rPr>
              <w:t>2017.09-今</w:t>
            </w:r>
          </w:p>
        </w:tc>
        <w:tc>
          <w:tcPr>
            <w:tcW w:w="4397"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eastAsia="华文仿宋"/>
                <w:spacing w:val="-20"/>
                <w:sz w:val="28"/>
                <w:szCs w:val="28"/>
              </w:rPr>
            </w:pPr>
            <w:r>
              <w:rPr>
                <w:rFonts w:ascii="宋体" w:hAnsi="宋体" w:eastAsia="华文仿宋"/>
                <w:spacing w:val="-20"/>
                <w:sz w:val="28"/>
                <w:szCs w:val="28"/>
              </w:rPr>
              <w:t>中国计算机学会多媒体专委会</w:t>
            </w:r>
          </w:p>
        </w:tc>
        <w:tc>
          <w:tcPr>
            <w:tcW w:w="2835"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eastAsia="华文仿宋"/>
                <w:sz w:val="28"/>
                <w:szCs w:val="28"/>
              </w:rPr>
            </w:pPr>
            <w:r>
              <w:rPr>
                <w:rFonts w:ascii="宋体" w:hAnsi="宋体" w:eastAsia="华文仿宋"/>
                <w:sz w:val="28"/>
                <w:szCs w:val="28"/>
              </w:rPr>
              <w:t>委员</w:t>
            </w:r>
          </w:p>
        </w:tc>
      </w:tr>
      <w:tr>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fixed"/>
          <w:tblCellMar>
            <w:top w:w="0" w:type="dxa"/>
            <w:left w:w="108" w:type="dxa"/>
            <w:bottom w:w="0" w:type="dxa"/>
            <w:right w:w="108" w:type="dxa"/>
          </w:tblCellMar>
        </w:tblPrEx>
        <w:trPr>
          <w:trHeight w:val="689" w:hRule="exact"/>
          <w:jc w:val="center"/>
        </w:trPr>
        <w:tc>
          <w:tcPr>
            <w:tcW w:w="1807"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eastAsia="华文仿宋"/>
                <w:spacing w:val="-20"/>
                <w:sz w:val="28"/>
                <w:szCs w:val="28"/>
              </w:rPr>
            </w:pPr>
            <w:r>
              <w:rPr>
                <w:rFonts w:hint="eastAsia" w:ascii="宋体" w:hAnsi="宋体" w:eastAsia="华文仿宋"/>
                <w:spacing w:val="-20"/>
                <w:sz w:val="28"/>
                <w:szCs w:val="28"/>
              </w:rPr>
              <w:t>2010.11-今</w:t>
            </w:r>
          </w:p>
        </w:tc>
        <w:tc>
          <w:tcPr>
            <w:tcW w:w="4397"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eastAsia="华文仿宋"/>
                <w:spacing w:val="-20"/>
                <w:sz w:val="28"/>
                <w:szCs w:val="28"/>
              </w:rPr>
            </w:pPr>
            <w:r>
              <w:rPr>
                <w:rFonts w:ascii="宋体" w:hAnsi="宋体" w:eastAsia="华文仿宋"/>
                <w:spacing w:val="-20"/>
                <w:sz w:val="28"/>
                <w:szCs w:val="28"/>
              </w:rPr>
              <w:t>中国电子学会网络多媒体专委会</w:t>
            </w:r>
          </w:p>
        </w:tc>
        <w:tc>
          <w:tcPr>
            <w:tcW w:w="2835"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eastAsia="华文仿宋"/>
                <w:sz w:val="28"/>
                <w:szCs w:val="28"/>
              </w:rPr>
            </w:pPr>
            <w:r>
              <w:rPr>
                <w:rFonts w:ascii="宋体" w:hAnsi="宋体" w:eastAsia="华文仿宋"/>
                <w:sz w:val="28"/>
                <w:szCs w:val="28"/>
              </w:rPr>
              <w:t>委员</w:t>
            </w:r>
          </w:p>
        </w:tc>
      </w:tr>
    </w:tbl>
    <w:p>
      <w:pPr>
        <w:widowControl/>
        <w:jc w:val="left"/>
        <w:rPr>
          <w:rFonts w:ascii="宋体" w:hAnsi="宋体" w:eastAsia="黑体"/>
          <w:sz w:val="30"/>
          <w:szCs w:val="30"/>
        </w:rPr>
      </w:pPr>
      <w:r>
        <w:rPr>
          <w:rFonts w:hint="eastAsia" w:ascii="宋体" w:hAnsi="宋体" w:eastAsia="黑体"/>
          <w:sz w:val="30"/>
          <w:szCs w:val="30"/>
        </w:rPr>
        <w:t>五、重要科技奖项情况</w:t>
      </w:r>
    </w:p>
    <w:tbl>
      <w:tblPr>
        <w:tblStyle w:val="11"/>
        <w:tblW w:w="9038" w:type="dxa"/>
        <w:jc w:val="center"/>
        <w:tblInd w:w="0" w:type="dxa"/>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fixed"/>
        <w:tblCellMar>
          <w:top w:w="0" w:type="dxa"/>
          <w:left w:w="108" w:type="dxa"/>
          <w:bottom w:w="0" w:type="dxa"/>
          <w:right w:w="108" w:type="dxa"/>
        </w:tblCellMar>
      </w:tblPr>
      <w:tblGrid>
        <w:gridCol w:w="1487"/>
        <w:gridCol w:w="1636"/>
        <w:gridCol w:w="3428"/>
        <w:gridCol w:w="2487"/>
      </w:tblGrid>
      <w:tr>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fixed"/>
          <w:tblCellMar>
            <w:top w:w="0" w:type="dxa"/>
            <w:left w:w="108" w:type="dxa"/>
            <w:bottom w:w="0" w:type="dxa"/>
            <w:right w:w="108" w:type="dxa"/>
          </w:tblCellMar>
        </w:tblPrEx>
        <w:trPr>
          <w:trHeight w:val="612" w:hRule="atLeast"/>
          <w:jc w:val="center"/>
        </w:trPr>
        <w:tc>
          <w:tcPr>
            <w:tcW w:w="1487"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eastAsia="仿宋_GB2312"/>
                <w:sz w:val="28"/>
              </w:rPr>
            </w:pPr>
            <w:r>
              <w:rPr>
                <w:rFonts w:hint="eastAsia" w:ascii="宋体" w:hAnsi="宋体" w:eastAsia="仿宋_GB2312"/>
                <w:sz w:val="28"/>
              </w:rPr>
              <w:t>序号</w:t>
            </w:r>
          </w:p>
        </w:tc>
        <w:tc>
          <w:tcPr>
            <w:tcW w:w="1636"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eastAsia="仿宋_GB2312"/>
                <w:sz w:val="28"/>
              </w:rPr>
            </w:pPr>
            <w:r>
              <w:rPr>
                <w:rFonts w:hint="eastAsia" w:ascii="宋体" w:hAnsi="宋体" w:eastAsia="仿宋_GB2312"/>
                <w:sz w:val="28"/>
              </w:rPr>
              <w:t>获奖时间</w:t>
            </w:r>
          </w:p>
        </w:tc>
        <w:tc>
          <w:tcPr>
            <w:tcW w:w="3428"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eastAsia="仿宋_GB2312"/>
                <w:sz w:val="28"/>
              </w:rPr>
            </w:pPr>
            <w:r>
              <w:rPr>
                <w:rFonts w:hint="eastAsia" w:ascii="宋体" w:hAnsi="宋体" w:eastAsia="仿宋_GB2312"/>
                <w:sz w:val="28"/>
              </w:rPr>
              <w:t>奖项名称</w:t>
            </w:r>
          </w:p>
        </w:tc>
        <w:tc>
          <w:tcPr>
            <w:tcW w:w="2487"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eastAsia="仿宋_GB2312"/>
                <w:sz w:val="28"/>
              </w:rPr>
            </w:pPr>
            <w:r>
              <w:rPr>
                <w:rFonts w:hint="eastAsia" w:ascii="宋体" w:hAnsi="宋体" w:eastAsia="仿宋_GB2312"/>
                <w:sz w:val="28"/>
              </w:rPr>
              <w:t>奖励等级（排名）</w:t>
            </w:r>
          </w:p>
        </w:tc>
      </w:tr>
      <w:tr>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fixed"/>
          <w:tblCellMar>
            <w:top w:w="0" w:type="dxa"/>
            <w:left w:w="108" w:type="dxa"/>
            <w:bottom w:w="0" w:type="dxa"/>
            <w:right w:w="108" w:type="dxa"/>
          </w:tblCellMar>
        </w:tblPrEx>
        <w:trPr>
          <w:trHeight w:val="612" w:hRule="atLeast"/>
          <w:jc w:val="center"/>
        </w:trPr>
        <w:tc>
          <w:tcPr>
            <w:tcW w:w="1487" w:type="dxa"/>
            <w:tcBorders>
              <w:top w:val="single" w:color="auto" w:sz="4" w:space="0"/>
              <w:left w:val="single" w:color="auto" w:sz="4" w:space="0"/>
              <w:bottom w:val="single" w:color="auto" w:sz="4" w:space="0"/>
              <w:right w:val="single" w:color="auto" w:sz="4" w:space="0"/>
            </w:tcBorders>
          </w:tcPr>
          <w:p>
            <w:pPr>
              <w:spacing w:line="400" w:lineRule="exact"/>
              <w:jc w:val="center"/>
              <w:rPr>
                <w:rFonts w:ascii="宋体" w:hAnsi="宋体" w:eastAsia="仿宋_GB2312"/>
                <w:sz w:val="28"/>
              </w:rPr>
            </w:pPr>
            <w:r>
              <w:rPr>
                <w:rFonts w:ascii="宋体" w:hAnsi="宋体" w:eastAsia="仿宋_GB2312"/>
                <w:sz w:val="28"/>
              </w:rPr>
              <w:t>1</w:t>
            </w:r>
          </w:p>
        </w:tc>
        <w:tc>
          <w:tcPr>
            <w:tcW w:w="1636" w:type="dxa"/>
            <w:tcBorders>
              <w:top w:val="single" w:color="auto" w:sz="4" w:space="0"/>
              <w:left w:val="single" w:color="auto" w:sz="4" w:space="0"/>
              <w:bottom w:val="single" w:color="auto" w:sz="4" w:space="0"/>
              <w:right w:val="single" w:color="auto" w:sz="4" w:space="0"/>
            </w:tcBorders>
          </w:tcPr>
          <w:p>
            <w:pPr>
              <w:spacing w:line="400" w:lineRule="exact"/>
              <w:jc w:val="center"/>
              <w:rPr>
                <w:rFonts w:ascii="宋体" w:hAnsi="宋体" w:eastAsia="仿宋_GB2312"/>
                <w:sz w:val="28"/>
              </w:rPr>
            </w:pPr>
            <w:r>
              <w:rPr>
                <w:rFonts w:ascii="宋体" w:hAnsi="宋体" w:eastAsia="仿宋_GB2312"/>
                <w:sz w:val="28"/>
              </w:rPr>
              <w:t>2017.05</w:t>
            </w:r>
          </w:p>
        </w:tc>
        <w:tc>
          <w:tcPr>
            <w:tcW w:w="3428" w:type="dxa"/>
            <w:tcBorders>
              <w:top w:val="single" w:color="auto" w:sz="4" w:space="0"/>
              <w:left w:val="single" w:color="auto" w:sz="4" w:space="0"/>
              <w:bottom w:val="single" w:color="auto" w:sz="4" w:space="0"/>
              <w:right w:val="single" w:color="auto" w:sz="4" w:space="0"/>
            </w:tcBorders>
          </w:tcPr>
          <w:p>
            <w:pPr>
              <w:spacing w:line="400" w:lineRule="exact"/>
              <w:jc w:val="center"/>
              <w:rPr>
                <w:rFonts w:ascii="宋体" w:hAnsi="宋体" w:eastAsia="仿宋_GB2312"/>
                <w:sz w:val="28"/>
              </w:rPr>
            </w:pPr>
            <w:r>
              <w:rPr>
                <w:rFonts w:ascii="宋体" w:hAnsi="宋体" w:eastAsia="仿宋_GB2312"/>
                <w:sz w:val="28"/>
              </w:rPr>
              <w:t>福建省青年科技奖</w:t>
            </w:r>
          </w:p>
        </w:tc>
        <w:tc>
          <w:tcPr>
            <w:tcW w:w="2487" w:type="dxa"/>
            <w:tcBorders>
              <w:top w:val="single" w:color="auto" w:sz="4" w:space="0"/>
              <w:left w:val="single" w:color="auto" w:sz="4" w:space="0"/>
              <w:bottom w:val="single" w:color="auto" w:sz="4" w:space="0"/>
              <w:right w:val="single" w:color="auto" w:sz="4" w:space="0"/>
            </w:tcBorders>
          </w:tcPr>
          <w:p>
            <w:pPr>
              <w:spacing w:line="400" w:lineRule="exact"/>
              <w:jc w:val="center"/>
              <w:rPr>
                <w:rFonts w:ascii="宋体" w:hAnsi="宋体" w:eastAsia="仿宋_GB2312"/>
                <w:sz w:val="28"/>
              </w:rPr>
            </w:pPr>
            <w:r>
              <w:rPr>
                <w:rFonts w:ascii="宋体" w:hAnsi="宋体" w:eastAsia="仿宋_GB2312"/>
                <w:sz w:val="28"/>
              </w:rPr>
              <w:t>省级（1）</w:t>
            </w:r>
          </w:p>
        </w:tc>
      </w:tr>
      <w:tr>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fixed"/>
          <w:tblCellMar>
            <w:top w:w="0" w:type="dxa"/>
            <w:left w:w="108" w:type="dxa"/>
            <w:bottom w:w="0" w:type="dxa"/>
            <w:right w:w="108" w:type="dxa"/>
          </w:tblCellMar>
        </w:tblPrEx>
        <w:trPr>
          <w:trHeight w:val="612" w:hRule="atLeast"/>
          <w:jc w:val="center"/>
        </w:trPr>
        <w:tc>
          <w:tcPr>
            <w:tcW w:w="1487" w:type="dxa"/>
            <w:tcBorders>
              <w:top w:val="single" w:color="auto" w:sz="4" w:space="0"/>
              <w:left w:val="single" w:color="auto" w:sz="4" w:space="0"/>
              <w:bottom w:val="single" w:color="auto" w:sz="4" w:space="0"/>
              <w:right w:val="single" w:color="auto" w:sz="4" w:space="0"/>
            </w:tcBorders>
          </w:tcPr>
          <w:p>
            <w:pPr>
              <w:spacing w:line="400" w:lineRule="exact"/>
              <w:jc w:val="center"/>
              <w:rPr>
                <w:rFonts w:ascii="宋体" w:hAnsi="宋体" w:eastAsia="仿宋_GB2312"/>
                <w:sz w:val="28"/>
              </w:rPr>
            </w:pPr>
          </w:p>
        </w:tc>
        <w:tc>
          <w:tcPr>
            <w:tcW w:w="1636" w:type="dxa"/>
            <w:tcBorders>
              <w:top w:val="single" w:color="auto" w:sz="4" w:space="0"/>
              <w:left w:val="single" w:color="auto" w:sz="4" w:space="0"/>
              <w:bottom w:val="single" w:color="auto" w:sz="4" w:space="0"/>
              <w:right w:val="single" w:color="auto" w:sz="4" w:space="0"/>
            </w:tcBorders>
          </w:tcPr>
          <w:p>
            <w:pPr>
              <w:spacing w:line="400" w:lineRule="exact"/>
              <w:jc w:val="center"/>
              <w:rPr>
                <w:rFonts w:ascii="宋体" w:hAnsi="宋体" w:eastAsia="仿宋_GB2312"/>
                <w:sz w:val="28"/>
              </w:rPr>
            </w:pPr>
          </w:p>
        </w:tc>
        <w:tc>
          <w:tcPr>
            <w:tcW w:w="3428" w:type="dxa"/>
            <w:tcBorders>
              <w:top w:val="single" w:color="auto" w:sz="4" w:space="0"/>
              <w:left w:val="single" w:color="auto" w:sz="4" w:space="0"/>
              <w:bottom w:val="single" w:color="auto" w:sz="4" w:space="0"/>
              <w:right w:val="single" w:color="auto" w:sz="4" w:space="0"/>
            </w:tcBorders>
          </w:tcPr>
          <w:p>
            <w:pPr>
              <w:spacing w:line="400" w:lineRule="exact"/>
              <w:rPr>
                <w:rFonts w:ascii="宋体" w:hAnsi="宋体" w:eastAsia="仿宋_GB2312"/>
                <w:sz w:val="28"/>
              </w:rPr>
            </w:pPr>
          </w:p>
        </w:tc>
        <w:tc>
          <w:tcPr>
            <w:tcW w:w="2487" w:type="dxa"/>
            <w:tcBorders>
              <w:top w:val="single" w:color="auto" w:sz="4" w:space="0"/>
              <w:left w:val="single" w:color="auto" w:sz="4" w:space="0"/>
              <w:bottom w:val="single" w:color="auto" w:sz="4" w:space="0"/>
              <w:right w:val="single" w:color="auto" w:sz="4" w:space="0"/>
            </w:tcBorders>
          </w:tcPr>
          <w:p>
            <w:pPr>
              <w:spacing w:line="400" w:lineRule="exact"/>
              <w:rPr>
                <w:rFonts w:ascii="宋体" w:hAnsi="宋体" w:eastAsia="仿宋_GB2312"/>
                <w:sz w:val="28"/>
              </w:rPr>
            </w:pPr>
          </w:p>
        </w:tc>
      </w:tr>
      <w:tr>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fixed"/>
          <w:tblCellMar>
            <w:top w:w="0" w:type="dxa"/>
            <w:left w:w="108" w:type="dxa"/>
            <w:bottom w:w="0" w:type="dxa"/>
            <w:right w:w="108" w:type="dxa"/>
          </w:tblCellMar>
        </w:tblPrEx>
        <w:trPr>
          <w:trHeight w:val="612" w:hRule="atLeast"/>
          <w:jc w:val="center"/>
        </w:trPr>
        <w:tc>
          <w:tcPr>
            <w:tcW w:w="1487" w:type="dxa"/>
            <w:tcBorders>
              <w:top w:val="single" w:color="auto" w:sz="4" w:space="0"/>
              <w:left w:val="single" w:color="auto" w:sz="4" w:space="0"/>
              <w:bottom w:val="single" w:color="auto" w:sz="4" w:space="0"/>
              <w:right w:val="single" w:color="auto" w:sz="4" w:space="0"/>
            </w:tcBorders>
          </w:tcPr>
          <w:p>
            <w:pPr>
              <w:spacing w:line="400" w:lineRule="exact"/>
              <w:jc w:val="center"/>
              <w:rPr>
                <w:rFonts w:ascii="宋体" w:hAnsi="宋体" w:eastAsia="仿宋_GB2312"/>
                <w:sz w:val="28"/>
              </w:rPr>
            </w:pPr>
          </w:p>
        </w:tc>
        <w:tc>
          <w:tcPr>
            <w:tcW w:w="1636" w:type="dxa"/>
            <w:tcBorders>
              <w:top w:val="single" w:color="auto" w:sz="4" w:space="0"/>
              <w:left w:val="single" w:color="auto" w:sz="4" w:space="0"/>
              <w:bottom w:val="single" w:color="auto" w:sz="4" w:space="0"/>
              <w:right w:val="single" w:color="auto" w:sz="4" w:space="0"/>
            </w:tcBorders>
          </w:tcPr>
          <w:p>
            <w:pPr>
              <w:spacing w:line="400" w:lineRule="exact"/>
              <w:jc w:val="center"/>
              <w:rPr>
                <w:rFonts w:ascii="宋体" w:hAnsi="宋体" w:eastAsia="仿宋_GB2312"/>
                <w:sz w:val="28"/>
              </w:rPr>
            </w:pPr>
          </w:p>
        </w:tc>
        <w:tc>
          <w:tcPr>
            <w:tcW w:w="3428" w:type="dxa"/>
            <w:tcBorders>
              <w:top w:val="single" w:color="auto" w:sz="4" w:space="0"/>
              <w:left w:val="single" w:color="auto" w:sz="4" w:space="0"/>
              <w:bottom w:val="single" w:color="auto" w:sz="4" w:space="0"/>
              <w:right w:val="single" w:color="auto" w:sz="4" w:space="0"/>
            </w:tcBorders>
          </w:tcPr>
          <w:p>
            <w:pPr>
              <w:spacing w:line="400" w:lineRule="exact"/>
              <w:rPr>
                <w:rFonts w:ascii="宋体" w:hAnsi="宋体" w:eastAsia="仿宋_GB2312"/>
                <w:sz w:val="28"/>
              </w:rPr>
            </w:pPr>
          </w:p>
        </w:tc>
        <w:tc>
          <w:tcPr>
            <w:tcW w:w="2487" w:type="dxa"/>
            <w:tcBorders>
              <w:top w:val="single" w:color="auto" w:sz="4" w:space="0"/>
              <w:left w:val="single" w:color="auto" w:sz="4" w:space="0"/>
              <w:bottom w:val="single" w:color="auto" w:sz="4" w:space="0"/>
              <w:right w:val="single" w:color="auto" w:sz="4" w:space="0"/>
            </w:tcBorders>
          </w:tcPr>
          <w:p>
            <w:pPr>
              <w:spacing w:line="400" w:lineRule="exact"/>
              <w:rPr>
                <w:rFonts w:ascii="宋体" w:hAnsi="宋体" w:eastAsia="仿宋_GB2312"/>
                <w:sz w:val="28"/>
              </w:rPr>
            </w:pPr>
          </w:p>
        </w:tc>
      </w:tr>
      <w:tr>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fixed"/>
          <w:tblCellMar>
            <w:top w:w="0" w:type="dxa"/>
            <w:left w:w="108" w:type="dxa"/>
            <w:bottom w:w="0" w:type="dxa"/>
            <w:right w:w="108" w:type="dxa"/>
          </w:tblCellMar>
        </w:tblPrEx>
        <w:trPr>
          <w:trHeight w:val="612" w:hRule="atLeast"/>
          <w:jc w:val="center"/>
        </w:trPr>
        <w:tc>
          <w:tcPr>
            <w:tcW w:w="1487" w:type="dxa"/>
            <w:tcBorders>
              <w:top w:val="single" w:color="auto" w:sz="4" w:space="0"/>
              <w:left w:val="single" w:color="auto" w:sz="4" w:space="0"/>
              <w:bottom w:val="single" w:color="auto" w:sz="4" w:space="0"/>
              <w:right w:val="single" w:color="auto" w:sz="4" w:space="0"/>
            </w:tcBorders>
          </w:tcPr>
          <w:p>
            <w:pPr>
              <w:spacing w:line="400" w:lineRule="exact"/>
              <w:jc w:val="center"/>
              <w:rPr>
                <w:rFonts w:ascii="宋体" w:hAnsi="宋体" w:eastAsia="仿宋_GB2312"/>
                <w:sz w:val="28"/>
              </w:rPr>
            </w:pPr>
          </w:p>
        </w:tc>
        <w:tc>
          <w:tcPr>
            <w:tcW w:w="1636" w:type="dxa"/>
            <w:tcBorders>
              <w:top w:val="single" w:color="auto" w:sz="4" w:space="0"/>
              <w:left w:val="single" w:color="auto" w:sz="4" w:space="0"/>
              <w:bottom w:val="single" w:color="auto" w:sz="4" w:space="0"/>
              <w:right w:val="single" w:color="auto" w:sz="4" w:space="0"/>
            </w:tcBorders>
          </w:tcPr>
          <w:p>
            <w:pPr>
              <w:spacing w:line="400" w:lineRule="exact"/>
              <w:jc w:val="center"/>
              <w:rPr>
                <w:rFonts w:ascii="宋体" w:hAnsi="宋体" w:eastAsia="仿宋_GB2312"/>
                <w:sz w:val="28"/>
              </w:rPr>
            </w:pPr>
          </w:p>
        </w:tc>
        <w:tc>
          <w:tcPr>
            <w:tcW w:w="3428" w:type="dxa"/>
            <w:tcBorders>
              <w:top w:val="single" w:color="auto" w:sz="4" w:space="0"/>
              <w:left w:val="single" w:color="auto" w:sz="4" w:space="0"/>
              <w:bottom w:val="single" w:color="auto" w:sz="4" w:space="0"/>
              <w:right w:val="single" w:color="auto" w:sz="4" w:space="0"/>
            </w:tcBorders>
          </w:tcPr>
          <w:p>
            <w:pPr>
              <w:spacing w:line="400" w:lineRule="exact"/>
              <w:rPr>
                <w:rFonts w:ascii="宋体" w:hAnsi="宋体" w:eastAsia="仿宋_GB2312"/>
                <w:sz w:val="28"/>
              </w:rPr>
            </w:pPr>
          </w:p>
        </w:tc>
        <w:tc>
          <w:tcPr>
            <w:tcW w:w="2487" w:type="dxa"/>
            <w:tcBorders>
              <w:top w:val="single" w:color="auto" w:sz="4" w:space="0"/>
              <w:left w:val="single" w:color="auto" w:sz="4" w:space="0"/>
              <w:bottom w:val="single" w:color="auto" w:sz="4" w:space="0"/>
              <w:right w:val="single" w:color="auto" w:sz="4" w:space="0"/>
            </w:tcBorders>
          </w:tcPr>
          <w:p>
            <w:pPr>
              <w:spacing w:line="400" w:lineRule="exact"/>
              <w:rPr>
                <w:rFonts w:ascii="宋体" w:hAnsi="宋体" w:eastAsia="仿宋_GB2312"/>
                <w:sz w:val="28"/>
              </w:rPr>
            </w:pPr>
          </w:p>
        </w:tc>
      </w:tr>
    </w:tbl>
    <w:p>
      <w:pPr>
        <w:widowControl/>
        <w:jc w:val="left"/>
        <w:rPr>
          <w:rFonts w:ascii="宋体" w:hAnsi="宋体" w:eastAsia="黑体"/>
          <w:sz w:val="30"/>
          <w:szCs w:val="30"/>
        </w:rPr>
      </w:pPr>
      <w:r>
        <w:rPr>
          <w:rFonts w:hint="eastAsia" w:ascii="宋体" w:hAnsi="宋体" w:eastAsia="黑体"/>
          <w:sz w:val="30"/>
          <w:szCs w:val="30"/>
        </w:rPr>
        <w:t>六、获重大人才培养奖励计划、基金资助项目情况</w:t>
      </w:r>
    </w:p>
    <w:tbl>
      <w:tblPr>
        <w:tblStyle w:val="11"/>
        <w:tblW w:w="9038" w:type="dxa"/>
        <w:jc w:val="center"/>
        <w:tblInd w:w="0" w:type="dxa"/>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fixed"/>
        <w:tblCellMar>
          <w:top w:w="0" w:type="dxa"/>
          <w:left w:w="108" w:type="dxa"/>
          <w:bottom w:w="0" w:type="dxa"/>
          <w:right w:w="108" w:type="dxa"/>
        </w:tblCellMar>
      </w:tblPr>
      <w:tblGrid>
        <w:gridCol w:w="1550"/>
        <w:gridCol w:w="1584"/>
        <w:gridCol w:w="5904"/>
      </w:tblGrid>
      <w:tr>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fixed"/>
          <w:tblCellMar>
            <w:top w:w="0" w:type="dxa"/>
            <w:left w:w="108" w:type="dxa"/>
            <w:bottom w:w="0" w:type="dxa"/>
            <w:right w:w="108" w:type="dxa"/>
          </w:tblCellMar>
        </w:tblPrEx>
        <w:trPr>
          <w:trHeight w:val="612" w:hRule="atLeast"/>
          <w:jc w:val="center"/>
        </w:trPr>
        <w:tc>
          <w:tcPr>
            <w:tcW w:w="1550"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eastAsia="仿宋_GB2312"/>
                <w:sz w:val="28"/>
              </w:rPr>
            </w:pPr>
            <w:r>
              <w:rPr>
                <w:rFonts w:hint="eastAsia" w:ascii="宋体" w:hAnsi="宋体" w:eastAsia="仿宋_GB2312"/>
                <w:sz w:val="28"/>
              </w:rPr>
              <w:t>序号</w:t>
            </w:r>
          </w:p>
        </w:tc>
        <w:tc>
          <w:tcPr>
            <w:tcW w:w="1584" w:type="dxa"/>
            <w:tcBorders>
              <w:top w:val="single" w:color="auto" w:sz="4" w:space="0"/>
              <w:bottom w:val="single" w:color="auto" w:sz="4" w:space="0"/>
              <w:right w:val="single" w:color="auto" w:sz="4" w:space="0"/>
            </w:tcBorders>
            <w:vAlign w:val="center"/>
          </w:tcPr>
          <w:p>
            <w:pPr>
              <w:spacing w:line="400" w:lineRule="exact"/>
              <w:jc w:val="center"/>
              <w:rPr>
                <w:rFonts w:ascii="宋体" w:hAnsi="宋体" w:eastAsia="仿宋_GB2312"/>
                <w:sz w:val="28"/>
              </w:rPr>
            </w:pPr>
            <w:r>
              <w:rPr>
                <w:rFonts w:hint="eastAsia" w:ascii="宋体" w:hAnsi="宋体" w:eastAsia="仿宋_GB2312"/>
                <w:sz w:val="28"/>
              </w:rPr>
              <w:t>年度</w:t>
            </w:r>
          </w:p>
        </w:tc>
        <w:tc>
          <w:tcPr>
            <w:tcW w:w="5904" w:type="dxa"/>
            <w:tcBorders>
              <w:top w:val="single" w:color="auto" w:sz="4" w:space="0"/>
              <w:left w:val="single" w:color="auto" w:sz="4" w:space="0"/>
              <w:bottom w:val="single" w:color="auto" w:sz="4" w:space="0"/>
              <w:right w:val="single" w:color="auto" w:sz="4" w:space="0"/>
            </w:tcBorders>
            <w:vAlign w:val="center"/>
          </w:tcPr>
          <w:p>
            <w:pPr>
              <w:tabs>
                <w:tab w:val="left" w:pos="1328"/>
              </w:tabs>
              <w:spacing w:line="400" w:lineRule="exact"/>
              <w:jc w:val="center"/>
              <w:rPr>
                <w:rFonts w:ascii="宋体" w:hAnsi="宋体" w:eastAsia="仿宋_GB2312"/>
                <w:sz w:val="28"/>
              </w:rPr>
            </w:pPr>
            <w:r>
              <w:rPr>
                <w:rFonts w:hint="eastAsia" w:ascii="宋体" w:hAnsi="宋体" w:eastAsia="仿宋_GB2312"/>
                <w:sz w:val="28"/>
              </w:rPr>
              <w:t>项目名称</w:t>
            </w:r>
          </w:p>
        </w:tc>
      </w:tr>
      <w:tr>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fixed"/>
          <w:tblCellMar>
            <w:top w:w="0" w:type="dxa"/>
            <w:left w:w="108" w:type="dxa"/>
            <w:bottom w:w="0" w:type="dxa"/>
            <w:right w:w="108" w:type="dxa"/>
          </w:tblCellMar>
        </w:tblPrEx>
        <w:trPr>
          <w:trHeight w:val="612" w:hRule="atLeast"/>
          <w:jc w:val="center"/>
        </w:trPr>
        <w:tc>
          <w:tcPr>
            <w:tcW w:w="1550"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b/>
                <w:sz w:val="24"/>
              </w:rPr>
            </w:pPr>
            <w:r>
              <w:rPr>
                <w:rFonts w:ascii="宋体" w:hAnsi="宋体"/>
                <w:b/>
                <w:sz w:val="24"/>
              </w:rPr>
              <w:t>1</w:t>
            </w:r>
          </w:p>
        </w:tc>
        <w:tc>
          <w:tcPr>
            <w:tcW w:w="1584" w:type="dxa"/>
            <w:tcBorders>
              <w:top w:val="single" w:color="auto" w:sz="4" w:space="0"/>
              <w:bottom w:val="single" w:color="auto" w:sz="4" w:space="0"/>
              <w:right w:val="single" w:color="auto" w:sz="4" w:space="0"/>
            </w:tcBorders>
            <w:vAlign w:val="center"/>
          </w:tcPr>
          <w:p>
            <w:pPr>
              <w:spacing w:line="400" w:lineRule="exact"/>
              <w:jc w:val="center"/>
              <w:rPr>
                <w:rFonts w:ascii="宋体" w:hAnsi="宋体"/>
                <w:b/>
                <w:sz w:val="24"/>
              </w:rPr>
            </w:pPr>
            <w:r>
              <w:rPr>
                <w:rFonts w:ascii="宋体" w:hAnsi="宋体"/>
                <w:b/>
                <w:sz w:val="24"/>
              </w:rPr>
              <w:t>2017</w:t>
            </w:r>
          </w:p>
        </w:tc>
        <w:tc>
          <w:tcPr>
            <w:tcW w:w="5904" w:type="dxa"/>
            <w:tcBorders>
              <w:top w:val="single" w:color="auto" w:sz="4" w:space="0"/>
              <w:left w:val="single" w:color="auto" w:sz="4" w:space="0"/>
              <w:bottom w:val="single" w:color="auto" w:sz="4" w:space="0"/>
              <w:right w:val="single" w:color="auto" w:sz="4" w:space="0"/>
            </w:tcBorders>
            <w:vAlign w:val="center"/>
          </w:tcPr>
          <w:p>
            <w:pPr>
              <w:tabs>
                <w:tab w:val="left" w:pos="1328"/>
              </w:tabs>
              <w:spacing w:line="400" w:lineRule="exact"/>
              <w:jc w:val="center"/>
              <w:rPr>
                <w:rFonts w:ascii="宋体" w:hAnsi="宋体"/>
                <w:b/>
                <w:sz w:val="24"/>
              </w:rPr>
            </w:pPr>
            <w:r>
              <w:rPr>
                <w:rFonts w:ascii="宋体" w:hAnsi="宋体"/>
                <w:b/>
                <w:sz w:val="24"/>
              </w:rPr>
              <w:t>中组部千人计划（青年项目）</w:t>
            </w:r>
          </w:p>
        </w:tc>
      </w:tr>
      <w:tr>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fixed"/>
          <w:tblCellMar>
            <w:top w:w="0" w:type="dxa"/>
            <w:left w:w="108" w:type="dxa"/>
            <w:bottom w:w="0" w:type="dxa"/>
            <w:right w:w="108" w:type="dxa"/>
          </w:tblCellMar>
        </w:tblPrEx>
        <w:trPr>
          <w:trHeight w:val="612" w:hRule="atLeast"/>
          <w:jc w:val="center"/>
        </w:trPr>
        <w:tc>
          <w:tcPr>
            <w:tcW w:w="1550"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b/>
                <w:sz w:val="24"/>
              </w:rPr>
            </w:pPr>
            <w:r>
              <w:rPr>
                <w:rFonts w:ascii="宋体" w:hAnsi="宋体"/>
                <w:b/>
                <w:sz w:val="24"/>
              </w:rPr>
              <w:t>2</w:t>
            </w:r>
          </w:p>
        </w:tc>
        <w:tc>
          <w:tcPr>
            <w:tcW w:w="1584" w:type="dxa"/>
            <w:tcBorders>
              <w:top w:val="single" w:color="auto" w:sz="4" w:space="0"/>
              <w:bottom w:val="single" w:color="auto" w:sz="4" w:space="0"/>
              <w:right w:val="single" w:color="auto" w:sz="4" w:space="0"/>
            </w:tcBorders>
            <w:vAlign w:val="center"/>
          </w:tcPr>
          <w:p>
            <w:pPr>
              <w:spacing w:line="400" w:lineRule="exact"/>
              <w:jc w:val="center"/>
              <w:rPr>
                <w:rFonts w:ascii="宋体" w:hAnsi="宋体"/>
                <w:b/>
                <w:sz w:val="24"/>
              </w:rPr>
            </w:pPr>
            <w:r>
              <w:rPr>
                <w:rFonts w:ascii="宋体" w:hAnsi="宋体"/>
                <w:b/>
                <w:sz w:val="24"/>
              </w:rPr>
              <w:t>2017</w:t>
            </w:r>
          </w:p>
        </w:tc>
        <w:tc>
          <w:tcPr>
            <w:tcW w:w="5904" w:type="dxa"/>
            <w:tcBorders>
              <w:top w:val="single" w:color="auto" w:sz="4" w:space="0"/>
              <w:left w:val="single" w:color="auto" w:sz="4" w:space="0"/>
              <w:bottom w:val="single" w:color="auto" w:sz="4" w:space="0"/>
              <w:right w:val="single" w:color="auto" w:sz="4" w:space="0"/>
            </w:tcBorders>
            <w:vAlign w:val="center"/>
          </w:tcPr>
          <w:p>
            <w:pPr>
              <w:tabs>
                <w:tab w:val="left" w:pos="1328"/>
              </w:tabs>
              <w:spacing w:line="400" w:lineRule="exact"/>
              <w:jc w:val="center"/>
              <w:rPr>
                <w:rFonts w:ascii="宋体" w:hAnsi="宋体"/>
                <w:b/>
                <w:sz w:val="24"/>
              </w:rPr>
            </w:pPr>
            <w:r>
              <w:rPr>
                <w:rFonts w:ascii="宋体" w:hAnsi="宋体"/>
                <w:b/>
                <w:sz w:val="24"/>
              </w:rPr>
              <w:t>福建省闽江学者奖励支持计划（特聘教授）</w:t>
            </w:r>
          </w:p>
        </w:tc>
      </w:tr>
      <w:tr>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fixed"/>
          <w:tblCellMar>
            <w:top w:w="0" w:type="dxa"/>
            <w:left w:w="108" w:type="dxa"/>
            <w:bottom w:w="0" w:type="dxa"/>
            <w:right w:w="108" w:type="dxa"/>
          </w:tblCellMar>
        </w:tblPrEx>
        <w:trPr>
          <w:trHeight w:val="612" w:hRule="atLeast"/>
          <w:jc w:val="center"/>
        </w:trPr>
        <w:tc>
          <w:tcPr>
            <w:tcW w:w="1550"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b/>
                <w:sz w:val="24"/>
              </w:rPr>
            </w:pPr>
          </w:p>
        </w:tc>
        <w:tc>
          <w:tcPr>
            <w:tcW w:w="1584" w:type="dxa"/>
            <w:tcBorders>
              <w:top w:val="single" w:color="auto" w:sz="4" w:space="0"/>
              <w:bottom w:val="single" w:color="auto" w:sz="4" w:space="0"/>
              <w:right w:val="single" w:color="auto" w:sz="4" w:space="0"/>
            </w:tcBorders>
            <w:vAlign w:val="center"/>
          </w:tcPr>
          <w:p>
            <w:pPr>
              <w:spacing w:line="400" w:lineRule="exact"/>
              <w:jc w:val="center"/>
              <w:rPr>
                <w:rFonts w:ascii="宋体" w:hAnsi="宋体"/>
                <w:b/>
                <w:sz w:val="24"/>
              </w:rPr>
            </w:pPr>
          </w:p>
        </w:tc>
        <w:tc>
          <w:tcPr>
            <w:tcW w:w="5904" w:type="dxa"/>
            <w:tcBorders>
              <w:top w:val="single" w:color="auto" w:sz="4" w:space="0"/>
              <w:left w:val="single" w:color="auto" w:sz="4" w:space="0"/>
              <w:bottom w:val="single" w:color="auto" w:sz="4" w:space="0"/>
              <w:right w:val="single" w:color="auto" w:sz="4" w:space="0"/>
            </w:tcBorders>
            <w:vAlign w:val="center"/>
          </w:tcPr>
          <w:p>
            <w:pPr>
              <w:tabs>
                <w:tab w:val="left" w:pos="1328"/>
              </w:tabs>
              <w:spacing w:line="400" w:lineRule="exact"/>
              <w:jc w:val="center"/>
              <w:rPr>
                <w:rFonts w:ascii="宋体" w:hAnsi="宋体"/>
                <w:b/>
                <w:sz w:val="24"/>
              </w:rPr>
            </w:pPr>
          </w:p>
        </w:tc>
      </w:tr>
      <w:tr>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fixed"/>
          <w:tblCellMar>
            <w:top w:w="0" w:type="dxa"/>
            <w:left w:w="108" w:type="dxa"/>
            <w:bottom w:w="0" w:type="dxa"/>
            <w:right w:w="108" w:type="dxa"/>
          </w:tblCellMar>
        </w:tblPrEx>
        <w:trPr>
          <w:trHeight w:val="612" w:hRule="atLeast"/>
          <w:jc w:val="center"/>
        </w:trPr>
        <w:tc>
          <w:tcPr>
            <w:tcW w:w="1550"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b/>
                <w:sz w:val="24"/>
              </w:rPr>
            </w:pPr>
          </w:p>
        </w:tc>
        <w:tc>
          <w:tcPr>
            <w:tcW w:w="1584" w:type="dxa"/>
            <w:tcBorders>
              <w:top w:val="single" w:color="auto" w:sz="4" w:space="0"/>
              <w:bottom w:val="single" w:color="auto" w:sz="4" w:space="0"/>
              <w:right w:val="single" w:color="auto" w:sz="4" w:space="0"/>
            </w:tcBorders>
            <w:vAlign w:val="center"/>
          </w:tcPr>
          <w:p>
            <w:pPr>
              <w:spacing w:line="400" w:lineRule="exact"/>
              <w:jc w:val="center"/>
              <w:rPr>
                <w:rFonts w:ascii="宋体" w:hAnsi="宋体"/>
                <w:b/>
                <w:sz w:val="24"/>
              </w:rPr>
            </w:pPr>
          </w:p>
        </w:tc>
        <w:tc>
          <w:tcPr>
            <w:tcW w:w="5904" w:type="dxa"/>
            <w:tcBorders>
              <w:top w:val="single" w:color="auto" w:sz="4" w:space="0"/>
              <w:left w:val="single" w:color="auto" w:sz="4" w:space="0"/>
              <w:bottom w:val="single" w:color="auto" w:sz="4" w:space="0"/>
              <w:right w:val="single" w:color="auto" w:sz="4" w:space="0"/>
            </w:tcBorders>
            <w:vAlign w:val="center"/>
          </w:tcPr>
          <w:p>
            <w:pPr>
              <w:tabs>
                <w:tab w:val="left" w:pos="1328"/>
              </w:tabs>
              <w:spacing w:line="400" w:lineRule="exact"/>
              <w:jc w:val="center"/>
              <w:rPr>
                <w:rFonts w:ascii="宋体" w:hAnsi="宋体"/>
                <w:b/>
                <w:sz w:val="24"/>
              </w:rPr>
            </w:pPr>
          </w:p>
        </w:tc>
      </w:tr>
    </w:tbl>
    <w:p>
      <w:pPr>
        <w:widowControl/>
        <w:jc w:val="left"/>
        <w:rPr>
          <w:rFonts w:ascii="宋体" w:hAnsi="宋体"/>
        </w:rPr>
      </w:pPr>
      <w:r>
        <w:rPr>
          <w:rFonts w:hint="eastAsia" w:ascii="宋体" w:hAnsi="宋体" w:eastAsia="黑体"/>
          <w:sz w:val="30"/>
          <w:szCs w:val="30"/>
        </w:rPr>
        <w:t>七、主要科学技术成就和贡献</w:t>
      </w:r>
    </w:p>
    <w:tbl>
      <w:tblPr>
        <w:tblStyle w:val="11"/>
        <w:tblW w:w="9038" w:type="dxa"/>
        <w:jc w:val="center"/>
        <w:tblInd w:w="0" w:type="dxa"/>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fixed"/>
        <w:tblCellMar>
          <w:top w:w="0" w:type="dxa"/>
          <w:left w:w="108" w:type="dxa"/>
          <w:bottom w:w="0" w:type="dxa"/>
          <w:right w:w="108" w:type="dxa"/>
        </w:tblCellMar>
      </w:tblPr>
      <w:tblGrid>
        <w:gridCol w:w="9038"/>
      </w:tblGrid>
      <w:tr>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fixed"/>
          <w:tblCellMar>
            <w:top w:w="0" w:type="dxa"/>
            <w:left w:w="108" w:type="dxa"/>
            <w:bottom w:w="0" w:type="dxa"/>
            <w:right w:w="108" w:type="dxa"/>
          </w:tblCellMar>
        </w:tblPrEx>
        <w:trPr>
          <w:trHeight w:val="12834" w:hRule="atLeast"/>
          <w:jc w:val="center"/>
        </w:trPr>
        <w:tc>
          <w:tcPr>
            <w:tcW w:w="9038" w:type="dxa"/>
            <w:tcBorders>
              <w:top w:val="single" w:color="auto" w:sz="4" w:space="0"/>
              <w:left w:val="single" w:color="auto" w:sz="4" w:space="0"/>
              <w:bottom w:val="single" w:color="auto" w:sz="4" w:space="0"/>
              <w:right w:val="single" w:color="auto" w:sz="4" w:space="0"/>
            </w:tcBorders>
          </w:tcPr>
          <w:p>
            <w:pPr>
              <w:pStyle w:val="3"/>
              <w:spacing w:line="390" w:lineRule="exact"/>
              <w:ind w:firstLine="428"/>
              <w:rPr>
                <w:rFonts w:hAnsi="宋体"/>
                <w:spacing w:val="2"/>
              </w:rPr>
            </w:pPr>
            <w:r>
              <w:rPr>
                <w:rFonts w:hint="eastAsia" w:hAnsi="宋体"/>
                <w:spacing w:val="2"/>
              </w:rPr>
              <w:t>本栏目是评价被推荐人的重要依据。应详实、准确、客观地填写被推荐人从开始工作起至今为止，在学科发展、推动行业技术进步、科技成果应用或技术推广等方面作出的贡献。</w:t>
            </w:r>
          </w:p>
          <w:p>
            <w:pPr>
              <w:autoSpaceDE w:val="0"/>
              <w:autoSpaceDN w:val="0"/>
              <w:adjustRightInd w:val="0"/>
              <w:ind w:firstLine="420" w:firstLineChars="200"/>
              <w:rPr>
                <w:rFonts w:ascii="宋体" w:hAnsi="宋体"/>
                <w:szCs w:val="21"/>
              </w:rPr>
            </w:pPr>
          </w:p>
          <w:p>
            <w:pPr>
              <w:autoSpaceDE w:val="0"/>
              <w:autoSpaceDN w:val="0"/>
              <w:adjustRightInd w:val="0"/>
              <w:ind w:firstLine="420" w:firstLineChars="200"/>
              <w:rPr>
                <w:rFonts w:ascii="宋体" w:hAnsi="宋体"/>
                <w:szCs w:val="21"/>
              </w:rPr>
            </w:pPr>
            <w:r>
              <w:rPr>
                <w:rFonts w:ascii="宋体" w:hAnsi="宋体"/>
                <w:kern w:val="0"/>
                <w:szCs w:val="21"/>
              </w:rPr>
              <w:t>被推荐人分别于 2006 年和2011 年于</w:t>
            </w:r>
            <w:r>
              <w:rPr>
                <w:rFonts w:ascii="宋体" w:hAnsi="宋体"/>
                <w:b/>
                <w:kern w:val="0"/>
                <w:szCs w:val="21"/>
              </w:rPr>
              <w:t>中国科学技术大学</w:t>
            </w:r>
            <w:r>
              <w:rPr>
                <w:rFonts w:ascii="宋体" w:hAnsi="宋体"/>
                <w:kern w:val="0"/>
                <w:szCs w:val="21"/>
              </w:rPr>
              <w:t>及</w:t>
            </w:r>
            <w:r>
              <w:rPr>
                <w:rFonts w:ascii="宋体" w:hAnsi="宋体"/>
                <w:b/>
                <w:kern w:val="0"/>
                <w:szCs w:val="21"/>
              </w:rPr>
              <w:t>香港城市大学</w:t>
            </w:r>
            <w:r>
              <w:rPr>
                <w:rFonts w:ascii="宋体" w:hAnsi="宋体"/>
                <w:kern w:val="0"/>
                <w:szCs w:val="21"/>
              </w:rPr>
              <w:t>毕业，并取得电子信息工程学士及计算机科学博士学位，期间</w:t>
            </w:r>
            <w:r>
              <w:rPr>
                <w:rFonts w:ascii="宋体" w:hAnsi="宋体"/>
                <w:b/>
                <w:kern w:val="0"/>
                <w:szCs w:val="21"/>
              </w:rPr>
              <w:t>多次获得奖学金和其他奖励资助</w:t>
            </w:r>
            <w:r>
              <w:rPr>
                <w:rFonts w:ascii="宋体" w:hAnsi="宋体"/>
                <w:kern w:val="0"/>
                <w:szCs w:val="21"/>
              </w:rPr>
              <w:t>。此后，被推荐人先后赴</w:t>
            </w:r>
            <w:r>
              <w:rPr>
                <w:rFonts w:ascii="宋体" w:hAnsi="宋体"/>
                <w:b/>
                <w:kern w:val="0"/>
                <w:szCs w:val="21"/>
              </w:rPr>
              <w:t>加拿大滑铁卢大学</w:t>
            </w:r>
            <w:r>
              <w:rPr>
                <w:rFonts w:ascii="宋体" w:hAnsi="宋体"/>
                <w:kern w:val="0"/>
                <w:szCs w:val="21"/>
              </w:rPr>
              <w:t>及</w:t>
            </w:r>
            <w:r>
              <w:rPr>
                <w:rFonts w:ascii="宋体" w:hAnsi="宋体"/>
                <w:b/>
                <w:kern w:val="0"/>
                <w:szCs w:val="21"/>
              </w:rPr>
              <w:t>美国纽约州立大学水牛城分校</w:t>
            </w:r>
            <w:r>
              <w:rPr>
                <w:rFonts w:ascii="宋体" w:hAnsi="宋体"/>
                <w:kern w:val="0"/>
                <w:szCs w:val="21"/>
              </w:rPr>
              <w:t>开展研究，并于</w:t>
            </w:r>
            <w:r>
              <w:rPr>
                <w:rFonts w:ascii="宋体" w:hAnsi="宋体"/>
                <w:bCs/>
                <w:kern w:val="0"/>
                <w:szCs w:val="21"/>
              </w:rPr>
              <w:t xml:space="preserve">2015 </w:t>
            </w:r>
            <w:r>
              <w:rPr>
                <w:rFonts w:ascii="宋体" w:hAnsi="宋体"/>
                <w:kern w:val="0"/>
                <w:szCs w:val="21"/>
              </w:rPr>
              <w:t>年通过</w:t>
            </w:r>
            <w:r>
              <w:rPr>
                <w:rFonts w:ascii="宋体" w:hAnsi="宋体"/>
                <w:b/>
                <w:kern w:val="0"/>
                <w:szCs w:val="21"/>
              </w:rPr>
              <w:t>福州大学旗山学者（海外项目）</w:t>
            </w:r>
            <w:r>
              <w:rPr>
                <w:rFonts w:ascii="宋体" w:hAnsi="宋体"/>
                <w:kern w:val="0"/>
                <w:szCs w:val="21"/>
              </w:rPr>
              <w:t>全职回国工作</w:t>
            </w:r>
            <w:r>
              <w:rPr>
                <w:rFonts w:hint="eastAsia" w:ascii="宋体" w:hAnsi="宋体"/>
                <w:kern w:val="0"/>
                <w:szCs w:val="21"/>
              </w:rPr>
              <w:t>，并先后被</w:t>
            </w:r>
            <w:r>
              <w:rPr>
                <w:rFonts w:ascii="宋体" w:hAnsi="宋体"/>
                <w:kern w:val="0"/>
                <w:szCs w:val="21"/>
              </w:rPr>
              <w:t>聘为</w:t>
            </w:r>
            <w:r>
              <w:rPr>
                <w:rFonts w:ascii="宋体" w:hAnsi="宋体"/>
                <w:b/>
                <w:kern w:val="0"/>
                <w:szCs w:val="21"/>
              </w:rPr>
              <w:t>福州大学物理与信息工程学院教授</w:t>
            </w:r>
            <w:r>
              <w:rPr>
                <w:rFonts w:ascii="宋体" w:hAnsi="宋体"/>
                <w:kern w:val="0"/>
                <w:szCs w:val="21"/>
              </w:rPr>
              <w:t>、</w:t>
            </w:r>
            <w:r>
              <w:rPr>
                <w:rFonts w:ascii="宋体" w:hAnsi="宋体"/>
                <w:b/>
                <w:kern w:val="0"/>
                <w:szCs w:val="21"/>
              </w:rPr>
              <w:t>博士生导师</w:t>
            </w:r>
            <w:r>
              <w:rPr>
                <w:rFonts w:ascii="宋体" w:hAnsi="宋体"/>
                <w:kern w:val="0"/>
                <w:szCs w:val="21"/>
              </w:rPr>
              <w:t>、</w:t>
            </w:r>
            <w:r>
              <w:rPr>
                <w:rFonts w:ascii="宋体" w:hAnsi="宋体"/>
                <w:b/>
                <w:kern w:val="0"/>
                <w:szCs w:val="21"/>
              </w:rPr>
              <w:t>福建省闽江学者特聘教授</w:t>
            </w:r>
            <w:r>
              <w:rPr>
                <w:rFonts w:ascii="宋体" w:hAnsi="宋体"/>
                <w:kern w:val="0"/>
                <w:szCs w:val="21"/>
              </w:rPr>
              <w:t>、及</w:t>
            </w:r>
            <w:r>
              <w:rPr>
                <w:rFonts w:ascii="宋体" w:hAnsi="宋体"/>
                <w:b/>
                <w:kern w:val="0"/>
                <w:szCs w:val="21"/>
              </w:rPr>
              <w:t>中组部千人计划青年项目特聘教授</w:t>
            </w:r>
            <w:r>
              <w:rPr>
                <w:rFonts w:ascii="宋体" w:hAnsi="宋体"/>
                <w:kern w:val="0"/>
                <w:szCs w:val="21"/>
              </w:rPr>
              <w:t>。</w:t>
            </w:r>
            <w:r>
              <w:rPr>
                <w:rFonts w:ascii="宋体" w:hAnsi="宋体"/>
                <w:szCs w:val="21"/>
              </w:rPr>
              <w:t>近年来</w:t>
            </w:r>
            <w:r>
              <w:rPr>
                <w:rFonts w:ascii="宋体" w:hAnsi="宋体"/>
                <w:b/>
                <w:szCs w:val="21"/>
              </w:rPr>
              <w:t>在国际权威期刊和会议发表SCI、EI学术论文20余篇</w:t>
            </w:r>
            <w:r>
              <w:rPr>
                <w:rFonts w:ascii="宋体" w:hAnsi="宋体"/>
                <w:szCs w:val="21"/>
              </w:rPr>
              <w:t>。</w:t>
            </w:r>
            <w:r>
              <w:rPr>
                <w:rFonts w:ascii="宋体" w:hAnsi="宋体"/>
                <w:kern w:val="0"/>
                <w:szCs w:val="21"/>
              </w:rPr>
              <w:t>被推荐人长期和国内外权威专家保持合作，</w:t>
            </w:r>
            <w:r>
              <w:rPr>
                <w:rFonts w:ascii="宋体" w:hAnsi="宋体"/>
                <w:b/>
                <w:kern w:val="0"/>
                <w:szCs w:val="21"/>
              </w:rPr>
              <w:t>主持国家自然科学基金项目1次</w:t>
            </w:r>
            <w:r>
              <w:rPr>
                <w:rFonts w:ascii="宋体" w:hAnsi="宋体"/>
                <w:kern w:val="0"/>
                <w:szCs w:val="21"/>
              </w:rPr>
              <w:t>，作为主要成员参与国家自然科学基金面上项目</w:t>
            </w:r>
            <w:r>
              <w:rPr>
                <w:rFonts w:ascii="宋体" w:hAnsi="宋体"/>
                <w:bCs/>
                <w:kern w:val="0"/>
                <w:szCs w:val="21"/>
              </w:rPr>
              <w:t xml:space="preserve">2 </w:t>
            </w:r>
            <w:r>
              <w:rPr>
                <w:rFonts w:ascii="宋体" w:hAnsi="宋体"/>
                <w:kern w:val="0"/>
                <w:szCs w:val="21"/>
              </w:rPr>
              <w:t>次，国际基金项目</w:t>
            </w:r>
            <w:r>
              <w:rPr>
                <w:rFonts w:ascii="宋体" w:hAnsi="宋体"/>
                <w:bCs/>
                <w:kern w:val="0"/>
                <w:szCs w:val="21"/>
              </w:rPr>
              <w:t>3</w:t>
            </w:r>
            <w:r>
              <w:rPr>
                <w:rFonts w:ascii="宋体" w:hAnsi="宋体"/>
                <w:kern w:val="0"/>
                <w:szCs w:val="21"/>
              </w:rPr>
              <w:t>次。被推荐人积极参加学术交流，长期担任</w:t>
            </w:r>
            <w:r>
              <w:rPr>
                <w:rFonts w:ascii="宋体" w:hAnsi="宋体"/>
                <w:bCs/>
                <w:kern w:val="0"/>
                <w:szCs w:val="21"/>
              </w:rPr>
              <w:t>TIP</w:t>
            </w:r>
            <w:r>
              <w:rPr>
                <w:rFonts w:ascii="宋体" w:hAnsi="宋体"/>
                <w:kern w:val="0"/>
                <w:szCs w:val="21"/>
              </w:rPr>
              <w:t xml:space="preserve">， </w:t>
            </w:r>
            <w:r>
              <w:rPr>
                <w:rFonts w:ascii="宋体" w:hAnsi="宋体"/>
                <w:bCs/>
                <w:kern w:val="0"/>
                <w:szCs w:val="21"/>
              </w:rPr>
              <w:t>TCSVT 等</w:t>
            </w:r>
            <w:r>
              <w:rPr>
                <w:rFonts w:ascii="宋体" w:hAnsi="宋体"/>
                <w:b/>
                <w:kern w:val="0"/>
                <w:szCs w:val="21"/>
              </w:rPr>
              <w:t>相关领域顶级期刊及多种等知名会议审稿人</w:t>
            </w:r>
            <w:r>
              <w:rPr>
                <w:rFonts w:ascii="宋体" w:hAnsi="宋体"/>
                <w:kern w:val="0"/>
                <w:szCs w:val="21"/>
              </w:rPr>
              <w:t>及</w:t>
            </w:r>
            <w:r>
              <w:rPr>
                <w:rFonts w:ascii="宋体" w:hAnsi="宋体"/>
                <w:b/>
                <w:kern w:val="0"/>
                <w:szCs w:val="21"/>
              </w:rPr>
              <w:t>国际会议技术程序委员会成员</w:t>
            </w:r>
            <w:r>
              <w:rPr>
                <w:rFonts w:ascii="宋体" w:hAnsi="宋体"/>
                <w:kern w:val="0"/>
                <w:szCs w:val="21"/>
              </w:rPr>
              <w:t>。被推荐人也因相关工作成绩，入选</w:t>
            </w:r>
            <w:r>
              <w:rPr>
                <w:rFonts w:ascii="宋体" w:hAnsi="宋体"/>
                <w:b/>
                <w:kern w:val="0"/>
                <w:szCs w:val="21"/>
              </w:rPr>
              <w:t>第十四届青年科技奖</w:t>
            </w:r>
            <w:r>
              <w:rPr>
                <w:rFonts w:ascii="宋体" w:hAnsi="宋体"/>
                <w:kern w:val="0"/>
                <w:szCs w:val="21"/>
              </w:rPr>
              <w:t>。</w:t>
            </w:r>
          </w:p>
          <w:p>
            <w:pPr>
              <w:autoSpaceDE w:val="0"/>
              <w:autoSpaceDN w:val="0"/>
              <w:adjustRightInd w:val="0"/>
              <w:ind w:firstLine="420" w:firstLineChars="200"/>
              <w:rPr>
                <w:rFonts w:ascii="宋体" w:hAnsi="宋体"/>
                <w:kern w:val="0"/>
                <w:szCs w:val="21"/>
              </w:rPr>
            </w:pPr>
            <w:r>
              <w:rPr>
                <w:rFonts w:ascii="宋体" w:hAnsi="宋体"/>
                <w:kern w:val="0"/>
                <w:szCs w:val="21"/>
              </w:rPr>
              <w:t>被推荐人自2007年以来一直从事</w:t>
            </w:r>
            <w:r>
              <w:rPr>
                <w:rFonts w:ascii="宋体" w:hAnsi="宋体"/>
                <w:b/>
                <w:kern w:val="0"/>
                <w:szCs w:val="21"/>
              </w:rPr>
              <w:t>多媒体信号处理与通信技术</w:t>
            </w:r>
            <w:r>
              <w:rPr>
                <w:rFonts w:ascii="宋体" w:hAnsi="宋体"/>
                <w:kern w:val="0"/>
                <w:szCs w:val="21"/>
              </w:rPr>
              <w:t>的相关研究。根据思科公司研究报告，</w:t>
            </w:r>
            <w:r>
              <w:rPr>
                <w:rFonts w:ascii="宋体" w:hAnsi="宋体"/>
                <w:b/>
                <w:kern w:val="0"/>
                <w:szCs w:val="21"/>
              </w:rPr>
              <w:t>视频内容</w:t>
            </w:r>
            <w:r>
              <w:rPr>
                <w:rFonts w:ascii="宋体" w:hAnsi="宋体"/>
                <w:kern w:val="0"/>
                <w:szCs w:val="21"/>
              </w:rPr>
              <w:t>已占据消费互联网2/3带宽，并将在可见未来继续呈现显著增长态势。特别是基于智能手持终端的</w:t>
            </w:r>
            <w:r>
              <w:rPr>
                <w:rFonts w:ascii="宋体" w:hAnsi="宋体"/>
                <w:b/>
                <w:kern w:val="0"/>
                <w:szCs w:val="21"/>
              </w:rPr>
              <w:t>移动视频</w:t>
            </w:r>
            <w:r>
              <w:rPr>
                <w:rFonts w:ascii="宋体" w:hAnsi="宋体"/>
                <w:kern w:val="0"/>
                <w:szCs w:val="21"/>
              </w:rPr>
              <w:t>的广泛应用，更是未来的增长热点。在社会经济层面，国际网络视频消费总体市场已</w:t>
            </w:r>
            <w:r>
              <w:rPr>
                <w:rFonts w:ascii="宋体" w:hAnsi="宋体"/>
                <w:b/>
                <w:kern w:val="0"/>
                <w:szCs w:val="21"/>
              </w:rPr>
              <w:t>近千亿美元</w:t>
            </w:r>
            <w:r>
              <w:rPr>
                <w:rFonts w:ascii="宋体" w:hAnsi="宋体"/>
                <w:kern w:val="0"/>
                <w:szCs w:val="21"/>
              </w:rPr>
              <w:t>，国内视频网站如优酷土豆估值也达数十亿美元。在技术研发层面，针对视频消费系统的研究涉及了</w:t>
            </w:r>
            <w:r>
              <w:rPr>
                <w:rFonts w:ascii="宋体" w:hAnsi="宋体"/>
                <w:b/>
                <w:kern w:val="0"/>
                <w:szCs w:val="21"/>
              </w:rPr>
              <w:t>相互促进协调发展的多方面技术</w:t>
            </w:r>
            <w:r>
              <w:rPr>
                <w:rFonts w:ascii="宋体" w:hAnsi="宋体"/>
                <w:kern w:val="0"/>
                <w:szCs w:val="21"/>
              </w:rPr>
              <w:t>如图像视频采集、编码存储、网络传输及终端播放等。在工业标准化方面，国际电信联盟和运动图像专家组合作推出了H.26x系列标准，我国科研工作者已着力推进自有产权的AVS标准。被推荐人的工作涉及</w:t>
            </w:r>
            <w:r>
              <w:rPr>
                <w:rFonts w:ascii="宋体" w:hAnsi="宋体"/>
                <w:b/>
                <w:kern w:val="0"/>
                <w:szCs w:val="21"/>
              </w:rPr>
              <w:t>视频应用的一系列热门技术</w:t>
            </w:r>
            <w:r>
              <w:rPr>
                <w:rFonts w:ascii="宋体" w:hAnsi="宋体"/>
                <w:kern w:val="0"/>
                <w:szCs w:val="21"/>
              </w:rPr>
              <w:t>，包括数字视频的编解码、传输及图像视频质量评价等，并着重关注移动设备上的视频应用和视觉体验特质在视频编码和传输中的影响。</w:t>
            </w:r>
          </w:p>
          <w:p>
            <w:pPr>
              <w:autoSpaceDE w:val="0"/>
              <w:autoSpaceDN w:val="0"/>
              <w:adjustRightInd w:val="0"/>
              <w:ind w:firstLine="420" w:firstLineChars="200"/>
              <w:rPr>
                <w:rFonts w:ascii="宋体" w:hAnsi="宋体"/>
                <w:kern w:val="0"/>
                <w:szCs w:val="21"/>
              </w:rPr>
            </w:pPr>
            <w:r>
              <w:rPr>
                <w:rFonts w:hint="eastAsia" w:ascii="宋体" w:hAnsi="宋体"/>
                <w:kern w:val="0"/>
                <w:szCs w:val="21"/>
              </w:rPr>
              <w:t>被推荐人主要学术成就和贡献</w:t>
            </w:r>
            <w:r>
              <w:rPr>
                <w:rFonts w:ascii="宋体" w:hAnsi="宋体"/>
                <w:kern w:val="0"/>
                <w:szCs w:val="21"/>
              </w:rPr>
              <w:t>详细介绍如下：</w:t>
            </w:r>
          </w:p>
          <w:p>
            <w:pPr>
              <w:pStyle w:val="18"/>
              <w:jc w:val="both"/>
              <w:rPr>
                <w:rFonts w:cstheme="minorBidi"/>
                <w:b/>
                <w:color w:val="auto"/>
                <w:sz w:val="21"/>
                <w:szCs w:val="21"/>
              </w:rPr>
            </w:pPr>
            <w:r>
              <w:rPr>
                <w:rFonts w:hint="eastAsia" w:cstheme="minorBidi"/>
                <w:b/>
                <w:color w:val="auto"/>
                <w:sz w:val="21"/>
                <w:szCs w:val="21"/>
              </w:rPr>
              <w:t>（一）、系统性优化国际视频编码标准以降低编码复杂度及提高性能。</w:t>
            </w:r>
          </w:p>
          <w:p>
            <w:pPr>
              <w:rPr>
                <w:rFonts w:ascii="宋体" w:hAnsi="宋体"/>
                <w:kern w:val="0"/>
                <w:szCs w:val="21"/>
              </w:rPr>
            </w:pPr>
            <w:r>
              <w:rPr>
                <w:rFonts w:hint="eastAsia" w:ascii="宋体" w:hAnsi="宋体"/>
                <w:kern w:val="0"/>
                <w:szCs w:val="21"/>
              </w:rPr>
              <w:t xml:space="preserve">    考虑到日益增长的消费视频内容需求与相对有限的存储与传输带宽之间的矛盾，对视频进行压缩编码至关重要。国际视频编码标准采纳了众多的编码技术以达到较高的压缩比，但实现编码器的复杂度也相应增强。在实时和移动应用中，现有编码器并不能达到很好的编码效果。因此，</w:t>
            </w:r>
            <w:r>
              <w:rPr>
                <w:rFonts w:hint="eastAsia" w:ascii="宋体" w:hAnsi="宋体"/>
                <w:b/>
                <w:kern w:val="0"/>
                <w:szCs w:val="21"/>
              </w:rPr>
              <w:t>对于编码器再优化以进一步降低复杂度并提升性能十分必要</w:t>
            </w:r>
            <w:r>
              <w:rPr>
                <w:rFonts w:hint="eastAsia" w:ascii="宋体" w:hAnsi="宋体"/>
                <w:kern w:val="0"/>
                <w:szCs w:val="21"/>
              </w:rPr>
              <w:t>。为解决此问题，被推荐人针对国际编码器的层次结构进行了</w:t>
            </w:r>
            <w:r>
              <w:rPr>
                <w:rFonts w:hint="eastAsia" w:ascii="宋体" w:hAnsi="宋体"/>
                <w:b/>
                <w:kern w:val="0"/>
                <w:szCs w:val="21"/>
              </w:rPr>
              <w:t>从上到下多层次的一系列优化</w:t>
            </w:r>
            <w:r>
              <w:rPr>
                <w:rFonts w:hint="eastAsia" w:ascii="宋体" w:hAnsi="宋体"/>
                <w:kern w:val="0"/>
                <w:szCs w:val="21"/>
              </w:rPr>
              <w:t>，包括率失真优化，码率控制，编码模式选择，参考帧选择，运动估计，零值</w:t>
            </w:r>
            <w:r>
              <w:rPr>
                <w:rFonts w:ascii="宋体" w:hAnsi="宋体"/>
                <w:kern w:val="0"/>
                <w:szCs w:val="21"/>
              </w:rPr>
              <w:t>DCT</w:t>
            </w:r>
            <w:r>
              <w:rPr>
                <w:rFonts w:hint="eastAsia" w:ascii="宋体" w:hAnsi="宋体"/>
                <w:kern w:val="0"/>
                <w:szCs w:val="21"/>
              </w:rPr>
              <w:t>预测及层间视点间交互优化等。相关一系列成果包括针对</w:t>
            </w:r>
            <w:r>
              <w:rPr>
                <w:rFonts w:ascii="宋体" w:hAnsi="宋体"/>
                <w:kern w:val="0"/>
                <w:szCs w:val="21"/>
              </w:rPr>
              <w:t>H.264</w:t>
            </w:r>
            <w:r>
              <w:rPr>
                <w:rFonts w:hint="eastAsia" w:ascii="宋体" w:hAnsi="宋体"/>
                <w:kern w:val="0"/>
                <w:szCs w:val="21"/>
              </w:rPr>
              <w:t>先进视频编码的优化（论文包括下文[7,13,17,19,20,24,25]），针对可变尺度视频编码的优化（下文[8,11,18]），针对多视点和</w:t>
            </w:r>
            <w:r>
              <w:rPr>
                <w:rFonts w:ascii="宋体" w:hAnsi="宋体"/>
                <w:kern w:val="0"/>
                <w:szCs w:val="21"/>
              </w:rPr>
              <w:t>3D</w:t>
            </w:r>
            <w:r>
              <w:rPr>
                <w:rFonts w:hint="eastAsia" w:ascii="宋体" w:hAnsi="宋体"/>
                <w:kern w:val="0"/>
                <w:szCs w:val="21"/>
              </w:rPr>
              <w:t>视频的优化（下文[22,23]），针对</w:t>
            </w:r>
            <w:r>
              <w:rPr>
                <w:rFonts w:ascii="宋体" w:hAnsi="宋体"/>
                <w:kern w:val="0"/>
                <w:szCs w:val="21"/>
              </w:rPr>
              <w:t>H.265</w:t>
            </w:r>
            <w:r>
              <w:rPr>
                <w:rFonts w:hint="eastAsia" w:ascii="宋体" w:hAnsi="宋体"/>
                <w:kern w:val="0"/>
                <w:szCs w:val="21"/>
              </w:rPr>
              <w:t>高效视频编码的优化（下文[3,9,14]）等等。其中，多视点视频优化部分工作已经申请相关发明专利并批准。</w:t>
            </w:r>
            <w:r>
              <w:rPr>
                <w:rFonts w:hint="eastAsia" w:ascii="宋体" w:hAnsi="宋体"/>
                <w:b/>
                <w:kern w:val="0"/>
                <w:szCs w:val="21"/>
              </w:rPr>
              <w:t>相关成果被多次证明显著提升了上述编码器的性能，其效能也超出了近期发表的诸多算法</w:t>
            </w:r>
            <w:r>
              <w:rPr>
                <w:rFonts w:hint="eastAsia" w:ascii="宋体" w:hAnsi="宋体"/>
                <w:kern w:val="0"/>
                <w:szCs w:val="21"/>
              </w:rPr>
              <w:t>，如论文[7]因其</w:t>
            </w:r>
            <w:r>
              <w:rPr>
                <w:rFonts w:ascii="宋体" w:hAnsi="宋体"/>
                <w:kern w:val="0"/>
                <w:szCs w:val="21"/>
              </w:rPr>
              <w:t>“reduce the complexity significantly among QCIF, CIF and Standard Definition (SD) sequences”</w:t>
            </w:r>
            <w:r>
              <w:rPr>
                <w:rFonts w:hint="eastAsia" w:ascii="宋体" w:hAnsi="宋体"/>
                <w:kern w:val="0"/>
                <w:szCs w:val="21"/>
              </w:rPr>
              <w:t>（</w:t>
            </w:r>
            <w:r>
              <w:rPr>
                <w:rFonts w:ascii="宋体" w:hAnsi="宋体"/>
                <w:kern w:val="0"/>
                <w:szCs w:val="21"/>
              </w:rPr>
              <w:t>IEEE Fellow J.-L. Wu</w:t>
            </w:r>
            <w:r>
              <w:rPr>
                <w:rFonts w:hint="eastAsia" w:ascii="宋体" w:hAnsi="宋体"/>
                <w:kern w:val="0"/>
                <w:szCs w:val="21"/>
              </w:rPr>
              <w:t>文章）而</w:t>
            </w:r>
            <w:r>
              <w:rPr>
                <w:rFonts w:hint="eastAsia" w:ascii="宋体" w:hAnsi="宋体"/>
                <w:b/>
                <w:kern w:val="0"/>
                <w:szCs w:val="21"/>
              </w:rPr>
              <w:t>被引用五十余次</w:t>
            </w:r>
            <w:r>
              <w:rPr>
                <w:rFonts w:hint="eastAsia" w:ascii="宋体" w:hAnsi="宋体"/>
                <w:kern w:val="0"/>
                <w:szCs w:val="21"/>
              </w:rPr>
              <w:t>。特别地，被推荐人在博士论文中，设计了涵盖模式选择、参考帧选择、运动估计等方面的</w:t>
            </w:r>
            <w:r>
              <w:rPr>
                <w:rFonts w:hint="eastAsia" w:ascii="宋体" w:hAnsi="宋体"/>
                <w:b/>
                <w:kern w:val="0"/>
                <w:szCs w:val="21"/>
              </w:rPr>
              <w:t>综合优化方案</w:t>
            </w:r>
            <w:r>
              <w:rPr>
                <w:rFonts w:hint="eastAsia" w:ascii="宋体" w:hAnsi="宋体"/>
                <w:kern w:val="0"/>
                <w:szCs w:val="21"/>
              </w:rPr>
              <w:t>，在保持率失真性能的基础上进一步降低了编码器的整体复杂度。</w:t>
            </w:r>
          </w:p>
          <w:p>
            <w:pPr>
              <w:pStyle w:val="18"/>
              <w:jc w:val="both"/>
              <w:rPr>
                <w:rFonts w:cstheme="minorBidi"/>
                <w:b/>
                <w:color w:val="auto"/>
                <w:sz w:val="21"/>
                <w:szCs w:val="21"/>
              </w:rPr>
            </w:pPr>
            <w:r>
              <w:rPr>
                <w:rFonts w:hint="eastAsia" w:cstheme="minorBidi"/>
                <w:b/>
                <w:color w:val="auto"/>
                <w:sz w:val="21"/>
                <w:szCs w:val="21"/>
              </w:rPr>
              <w:t>（二）、基于数学理论的视频编码设计以提升相关算法的通用性及灵活性。</w:t>
            </w:r>
          </w:p>
          <w:p>
            <w:pPr>
              <w:autoSpaceDE w:val="0"/>
              <w:autoSpaceDN w:val="0"/>
              <w:adjustRightInd w:val="0"/>
              <w:ind w:firstLine="420" w:firstLineChars="200"/>
              <w:rPr>
                <w:rFonts w:ascii="宋体" w:hAnsi="宋体"/>
                <w:kern w:val="0"/>
                <w:szCs w:val="21"/>
              </w:rPr>
            </w:pPr>
            <w:r>
              <w:rPr>
                <w:rFonts w:hint="eastAsia" w:ascii="宋体" w:hAnsi="宋体"/>
                <w:kern w:val="0"/>
                <w:szCs w:val="21"/>
              </w:rPr>
              <w:t>现有视频编码系统优化算法通常只针对编码器的某一层级，而相关模型难以适用于不同编码器或者同一编码器的不同层次结构。同时，传统设计方案通常采用固定参数，缺少用户可控的灵活性。因此，</w:t>
            </w:r>
            <w:r>
              <w:rPr>
                <w:rFonts w:hint="eastAsia" w:ascii="宋体" w:hAnsi="宋体"/>
                <w:b/>
                <w:kern w:val="0"/>
                <w:szCs w:val="21"/>
              </w:rPr>
              <w:t>被推荐人提出提高算法的通用性和灵活性，可以同时适用于不同的编码器要求和网络环境</w:t>
            </w:r>
            <w:r>
              <w:rPr>
                <w:rFonts w:hint="eastAsia" w:ascii="宋体" w:hAnsi="宋体"/>
                <w:kern w:val="0"/>
                <w:szCs w:val="21"/>
              </w:rPr>
              <w:t>。被推荐人设计采用最优停止等优化理论对现有视频编码的率失真优化方案进行分析，并允许用户在合理范围内随意指定约束，从而</w:t>
            </w:r>
            <w:r>
              <w:rPr>
                <w:rFonts w:hint="eastAsia" w:ascii="宋体" w:hAnsi="宋体"/>
                <w:b/>
                <w:kern w:val="0"/>
                <w:szCs w:val="21"/>
              </w:rPr>
              <w:t>实现了算法及模型的通用性和灵活性</w:t>
            </w:r>
            <w:r>
              <w:rPr>
                <w:rFonts w:hint="eastAsia" w:ascii="宋体" w:hAnsi="宋体"/>
                <w:kern w:val="0"/>
                <w:szCs w:val="21"/>
              </w:rPr>
              <w:t>。被推荐人的相关策略在</w:t>
            </w:r>
            <w:r>
              <w:rPr>
                <w:rFonts w:hint="eastAsia" w:ascii="宋体" w:hAnsi="宋体"/>
                <w:b/>
                <w:kern w:val="0"/>
                <w:szCs w:val="21"/>
              </w:rPr>
              <w:t>以下两种应用场景中获得了验证</w:t>
            </w:r>
            <w:r>
              <w:rPr>
                <w:rFonts w:hint="eastAsia" w:ascii="宋体" w:hAnsi="宋体"/>
                <w:kern w:val="0"/>
                <w:szCs w:val="21"/>
              </w:rPr>
              <w:t>。在第一种场景中，由用户指定编码性能约束，并基于此最大化降低编码复杂度。在此算法中参考预估概率修正了传统的最优停止数学模型并进行了工程近似，使其具有不限于视频编码的广泛工程应用（下文[4,5]）。在第二种场景中，由用户指定编码复杂度控制目标，并基于此最大化保证编码效能。基于欧式空间映射和线性规划，为</w:t>
            </w:r>
            <w:r>
              <w:rPr>
                <w:rFonts w:ascii="宋体" w:hAnsi="宋体"/>
                <w:kern w:val="0"/>
                <w:szCs w:val="21"/>
              </w:rPr>
              <w:t>H.265</w:t>
            </w:r>
            <w:r>
              <w:rPr>
                <w:rFonts w:hint="eastAsia" w:ascii="宋体" w:hAnsi="宋体"/>
                <w:kern w:val="0"/>
                <w:szCs w:val="21"/>
              </w:rPr>
              <w:t>高效视频编码的随机存取结构设计了基于编码复杂度约束最大化提升编码效率的模型方案（下文</w:t>
            </w:r>
            <w:r>
              <w:rPr>
                <w:rFonts w:ascii="宋体" w:hAnsi="宋体"/>
                <w:kern w:val="0"/>
                <w:szCs w:val="21"/>
              </w:rPr>
              <w:t xml:space="preserve"> [</w:t>
            </w:r>
            <w:r>
              <w:rPr>
                <w:rFonts w:hint="eastAsia" w:ascii="宋体" w:hAnsi="宋体"/>
                <w:kern w:val="0"/>
                <w:szCs w:val="21"/>
              </w:rPr>
              <w:t>2,12</w:t>
            </w:r>
            <w:r>
              <w:rPr>
                <w:rFonts w:ascii="宋体" w:hAnsi="宋体"/>
                <w:kern w:val="0"/>
                <w:szCs w:val="21"/>
              </w:rPr>
              <w:t>]</w:t>
            </w:r>
            <w:r>
              <w:rPr>
                <w:rFonts w:hint="eastAsia" w:ascii="宋体" w:hAnsi="宋体"/>
                <w:kern w:val="0"/>
                <w:szCs w:val="21"/>
              </w:rPr>
              <w:t xml:space="preserve"> ），实现了非常良好的控制效能。上述方案已被</w:t>
            </w:r>
            <w:r>
              <w:rPr>
                <w:rFonts w:ascii="宋体" w:hAnsi="宋体"/>
                <w:kern w:val="0"/>
                <w:szCs w:val="21"/>
              </w:rPr>
              <w:t>IEEE Fellow M. Gabbouj</w:t>
            </w:r>
            <w:r>
              <w:rPr>
                <w:rFonts w:hint="eastAsia" w:ascii="宋体" w:hAnsi="宋体"/>
                <w:kern w:val="0"/>
                <w:szCs w:val="21"/>
              </w:rPr>
              <w:t>，</w:t>
            </w:r>
            <w:r>
              <w:rPr>
                <w:rFonts w:ascii="宋体" w:hAnsi="宋体"/>
                <w:kern w:val="0"/>
                <w:szCs w:val="21"/>
              </w:rPr>
              <w:t>IEEE</w:t>
            </w:r>
            <w:r>
              <w:rPr>
                <w:rFonts w:hint="eastAsia" w:ascii="宋体" w:hAnsi="宋体"/>
                <w:kern w:val="0"/>
                <w:szCs w:val="21"/>
              </w:rPr>
              <w:t xml:space="preserve"> </w:t>
            </w:r>
            <w:r>
              <w:rPr>
                <w:rFonts w:ascii="宋体" w:hAnsi="宋体"/>
                <w:kern w:val="0"/>
                <w:szCs w:val="21"/>
              </w:rPr>
              <w:t>Fellow</w:t>
            </w:r>
            <w:r>
              <w:rPr>
                <w:rFonts w:hint="eastAsia" w:ascii="宋体" w:hAnsi="宋体"/>
                <w:kern w:val="0"/>
                <w:szCs w:val="21"/>
              </w:rPr>
              <w:t>吴枫研究组及</w:t>
            </w:r>
            <w:r>
              <w:rPr>
                <w:rFonts w:ascii="宋体" w:hAnsi="宋体"/>
                <w:kern w:val="0"/>
                <w:szCs w:val="21"/>
              </w:rPr>
              <w:t>ACM Fellow</w:t>
            </w:r>
            <w:r>
              <w:rPr>
                <w:rFonts w:hint="eastAsia" w:ascii="宋体" w:hAnsi="宋体"/>
                <w:kern w:val="0"/>
                <w:szCs w:val="21"/>
              </w:rPr>
              <w:t>、中国工程院院士高文研究组文章</w:t>
            </w:r>
            <w:r>
              <w:rPr>
                <w:rFonts w:hint="eastAsia" w:ascii="宋体" w:hAnsi="宋体"/>
                <w:b/>
                <w:kern w:val="0"/>
                <w:szCs w:val="21"/>
              </w:rPr>
              <w:t>多次肯定引用</w:t>
            </w:r>
            <w:r>
              <w:rPr>
                <w:rFonts w:hint="eastAsia" w:ascii="宋体" w:hAnsi="宋体"/>
                <w:kern w:val="0"/>
                <w:szCs w:val="21"/>
              </w:rPr>
              <w:t>。此外，被推荐人提出算法的理论部分，</w:t>
            </w:r>
            <w:r>
              <w:rPr>
                <w:rFonts w:hint="eastAsia" w:ascii="宋体" w:hAnsi="宋体"/>
                <w:b/>
                <w:kern w:val="0"/>
                <w:szCs w:val="21"/>
              </w:rPr>
              <w:t>已经作为国家自然基金面上项目《多视点视频编码中的资源分配与目标决策相关理论研究》（</w:t>
            </w:r>
            <w:r>
              <w:rPr>
                <w:rFonts w:ascii="宋体" w:hAnsi="宋体"/>
                <w:b/>
                <w:kern w:val="0"/>
                <w:szCs w:val="21"/>
              </w:rPr>
              <w:t>2013-2016</w:t>
            </w:r>
            <w:r>
              <w:rPr>
                <w:rFonts w:hint="eastAsia" w:ascii="宋体" w:hAnsi="宋体"/>
                <w:b/>
                <w:kern w:val="0"/>
                <w:szCs w:val="21"/>
              </w:rPr>
              <w:t>）的基础并进行后续研究</w:t>
            </w:r>
            <w:r>
              <w:rPr>
                <w:rFonts w:hint="eastAsia" w:ascii="宋体" w:hAnsi="宋体"/>
                <w:kern w:val="0"/>
                <w:szCs w:val="21"/>
              </w:rPr>
              <w:t>。</w:t>
            </w:r>
          </w:p>
          <w:p>
            <w:pPr>
              <w:pStyle w:val="18"/>
              <w:jc w:val="both"/>
              <w:rPr>
                <w:rFonts w:cstheme="minorBidi"/>
                <w:b/>
                <w:color w:val="auto"/>
                <w:sz w:val="21"/>
                <w:szCs w:val="21"/>
              </w:rPr>
            </w:pPr>
            <w:r>
              <w:rPr>
                <w:rFonts w:hint="eastAsia" w:cstheme="minorBidi"/>
                <w:b/>
                <w:color w:val="auto"/>
                <w:sz w:val="21"/>
                <w:szCs w:val="21"/>
              </w:rPr>
              <w:t>（三）、基于用户感知失真的新型图像视频质量评价及主观视频编码方案。</w:t>
            </w:r>
          </w:p>
          <w:p>
            <w:pPr>
              <w:pStyle w:val="18"/>
              <w:ind w:firstLine="420"/>
              <w:jc w:val="both"/>
              <w:rPr>
                <w:rFonts w:cstheme="minorBidi"/>
                <w:color w:val="auto"/>
                <w:sz w:val="21"/>
                <w:szCs w:val="21"/>
              </w:rPr>
            </w:pPr>
            <w:r>
              <w:rPr>
                <w:rFonts w:hint="eastAsia" w:cstheme="minorBidi"/>
                <w:color w:val="auto"/>
                <w:sz w:val="21"/>
                <w:szCs w:val="21"/>
              </w:rPr>
              <w:t>在图像及视频质量评价中，如何评价用户感知的失真始终是一个至关重要的课题。被推荐人通过引入人类视觉和自然图像的基本特性，针对具体应用场景，</w:t>
            </w:r>
            <w:r>
              <w:rPr>
                <w:rFonts w:hint="eastAsia" w:cstheme="minorBidi"/>
                <w:b/>
                <w:color w:val="auto"/>
                <w:sz w:val="21"/>
                <w:szCs w:val="21"/>
              </w:rPr>
              <w:t>制定符合人类主观视觉和应用需求的图像和视频评价算法</w:t>
            </w:r>
            <w:r>
              <w:rPr>
                <w:rFonts w:hint="eastAsia" w:cstheme="minorBidi"/>
                <w:color w:val="auto"/>
                <w:sz w:val="21"/>
                <w:szCs w:val="21"/>
              </w:rPr>
              <w:t>，包括针对彩色图像转灰度图像的质量评价算法（下文[10]）和针对视频压缩产生的主观伪影的分类评价（下文[21]）。近期研究发现，</w:t>
            </w:r>
            <w:r>
              <w:rPr>
                <w:rFonts w:hint="eastAsia" w:cstheme="minorBidi"/>
                <w:b/>
                <w:color w:val="auto"/>
                <w:sz w:val="21"/>
                <w:szCs w:val="21"/>
              </w:rPr>
              <w:t>结构相似性（</w:t>
            </w:r>
            <w:r>
              <w:rPr>
                <w:rFonts w:cstheme="minorBidi"/>
                <w:b/>
                <w:color w:val="auto"/>
                <w:sz w:val="21"/>
                <w:szCs w:val="21"/>
              </w:rPr>
              <w:t>SSIM</w:t>
            </w:r>
            <w:r>
              <w:rPr>
                <w:rFonts w:hint="eastAsia" w:cstheme="minorBidi"/>
                <w:b/>
                <w:color w:val="auto"/>
                <w:sz w:val="21"/>
                <w:szCs w:val="21"/>
              </w:rPr>
              <w:t>）</w:t>
            </w:r>
            <w:r>
              <w:rPr>
                <w:rFonts w:hint="eastAsia" w:cstheme="minorBidi"/>
                <w:color w:val="auto"/>
                <w:sz w:val="21"/>
                <w:szCs w:val="21"/>
              </w:rPr>
              <w:t>已取代传统的峰值信噪比，成为衡量视频编码器中信号质量的最佳方法。为此，被推荐人</w:t>
            </w:r>
            <w:r>
              <w:rPr>
                <w:rFonts w:hint="eastAsia" w:cstheme="minorBidi"/>
                <w:b/>
                <w:color w:val="auto"/>
                <w:sz w:val="21"/>
                <w:szCs w:val="21"/>
              </w:rPr>
              <w:t>首次全面论证了应用</w:t>
            </w:r>
            <w:r>
              <w:rPr>
                <w:rFonts w:cstheme="minorBidi"/>
                <w:b/>
                <w:color w:val="auto"/>
                <w:sz w:val="21"/>
                <w:szCs w:val="21"/>
              </w:rPr>
              <w:t>SSIM</w:t>
            </w:r>
            <w:r>
              <w:rPr>
                <w:rFonts w:hint="eastAsia" w:cstheme="minorBidi"/>
                <w:b/>
                <w:color w:val="auto"/>
                <w:sz w:val="21"/>
                <w:szCs w:val="21"/>
              </w:rPr>
              <w:t>到视频编码器的必要性和可行性</w:t>
            </w:r>
            <w:r>
              <w:rPr>
                <w:rFonts w:hint="eastAsia" w:cstheme="minorBidi"/>
                <w:color w:val="auto"/>
                <w:sz w:val="21"/>
                <w:szCs w:val="21"/>
              </w:rPr>
              <w:t>（下文[16]），并设计了不同编码器中的</w:t>
            </w:r>
            <w:r>
              <w:rPr>
                <w:rFonts w:cstheme="minorBidi"/>
                <w:color w:val="auto"/>
                <w:sz w:val="21"/>
                <w:szCs w:val="21"/>
              </w:rPr>
              <w:t>SSIM</w:t>
            </w:r>
            <w:r>
              <w:rPr>
                <w:rFonts w:hint="eastAsia" w:cstheme="minorBidi"/>
                <w:color w:val="auto"/>
                <w:sz w:val="21"/>
                <w:szCs w:val="21"/>
              </w:rPr>
              <w:t>度量及预测、比较方案（下文[15，16]），从而</w:t>
            </w:r>
            <w:r>
              <w:rPr>
                <w:rFonts w:hint="eastAsia" w:cstheme="minorBidi"/>
                <w:b/>
                <w:color w:val="auto"/>
                <w:sz w:val="21"/>
                <w:szCs w:val="21"/>
              </w:rPr>
              <w:t>充实了基于</w:t>
            </w:r>
            <w:r>
              <w:rPr>
                <w:rFonts w:cstheme="minorBidi"/>
                <w:b/>
                <w:color w:val="auto"/>
                <w:sz w:val="21"/>
                <w:szCs w:val="21"/>
              </w:rPr>
              <w:t>SSIM</w:t>
            </w:r>
            <w:r>
              <w:rPr>
                <w:rFonts w:hint="eastAsia" w:cstheme="minorBidi"/>
                <w:b/>
                <w:color w:val="auto"/>
                <w:sz w:val="21"/>
                <w:szCs w:val="21"/>
              </w:rPr>
              <w:t>的视频编码框架基础</w:t>
            </w:r>
            <w:r>
              <w:rPr>
                <w:rFonts w:hint="eastAsia" w:cstheme="minorBidi"/>
                <w:color w:val="auto"/>
                <w:sz w:val="21"/>
                <w:szCs w:val="21"/>
              </w:rPr>
              <w:t>，相关做法被</w:t>
            </w:r>
            <w:r>
              <w:rPr>
                <w:rFonts w:cstheme="minorBidi"/>
                <w:color w:val="auto"/>
                <w:sz w:val="21"/>
                <w:szCs w:val="21"/>
              </w:rPr>
              <w:t xml:space="preserve">IEEE Fellow B. Pesquet-Popescu </w:t>
            </w:r>
            <w:r>
              <w:rPr>
                <w:rFonts w:hint="eastAsia" w:cstheme="minorBidi"/>
                <w:color w:val="auto"/>
                <w:sz w:val="21"/>
                <w:szCs w:val="21"/>
              </w:rPr>
              <w:t>研究组</w:t>
            </w:r>
            <w:r>
              <w:rPr>
                <w:rFonts w:hint="eastAsia" w:cstheme="minorBidi"/>
                <w:b/>
                <w:color w:val="auto"/>
                <w:sz w:val="21"/>
                <w:szCs w:val="21"/>
              </w:rPr>
              <w:t>引用并用于实验测试</w:t>
            </w:r>
            <w:r>
              <w:rPr>
                <w:rFonts w:hint="eastAsia" w:cstheme="minorBidi"/>
                <w:color w:val="auto"/>
                <w:sz w:val="21"/>
                <w:szCs w:val="21"/>
              </w:rPr>
              <w:t>；被推荐人基于可变尺度视频编码器，研究了</w:t>
            </w:r>
            <w:r>
              <w:rPr>
                <w:rFonts w:hint="eastAsia" w:cstheme="minorBidi"/>
                <w:b/>
                <w:color w:val="auto"/>
                <w:sz w:val="21"/>
                <w:szCs w:val="21"/>
              </w:rPr>
              <w:t>基于</w:t>
            </w:r>
            <w:r>
              <w:rPr>
                <w:rFonts w:cstheme="minorBidi"/>
                <w:b/>
                <w:color w:val="auto"/>
                <w:sz w:val="21"/>
                <w:szCs w:val="21"/>
              </w:rPr>
              <w:t>SSIM</w:t>
            </w:r>
            <w:r>
              <w:rPr>
                <w:rFonts w:hint="eastAsia" w:cstheme="minorBidi"/>
                <w:b/>
                <w:color w:val="auto"/>
                <w:sz w:val="21"/>
                <w:szCs w:val="21"/>
              </w:rPr>
              <w:t>的视频编码优化方案</w:t>
            </w:r>
            <w:r>
              <w:rPr>
                <w:rFonts w:hint="eastAsia" w:cstheme="minorBidi"/>
                <w:color w:val="auto"/>
                <w:sz w:val="21"/>
                <w:szCs w:val="21"/>
              </w:rPr>
              <w:t>（下文</w:t>
            </w:r>
            <w:r>
              <w:rPr>
                <w:rFonts w:cstheme="minorBidi"/>
                <w:color w:val="auto"/>
                <w:sz w:val="21"/>
                <w:szCs w:val="21"/>
              </w:rPr>
              <w:t xml:space="preserve"> [</w:t>
            </w:r>
            <w:r>
              <w:rPr>
                <w:rFonts w:hint="eastAsia" w:cstheme="minorBidi"/>
                <w:color w:val="auto"/>
                <w:sz w:val="21"/>
                <w:szCs w:val="21"/>
              </w:rPr>
              <w:t>6</w:t>
            </w:r>
            <w:r>
              <w:rPr>
                <w:rFonts w:cstheme="minorBidi"/>
                <w:color w:val="auto"/>
                <w:sz w:val="21"/>
                <w:szCs w:val="21"/>
              </w:rPr>
              <w:t>]</w:t>
            </w:r>
            <w:r>
              <w:rPr>
                <w:rFonts w:hint="eastAsia" w:cstheme="minorBidi"/>
                <w:color w:val="auto"/>
                <w:sz w:val="21"/>
                <w:szCs w:val="21"/>
              </w:rPr>
              <w:t xml:space="preserve"> ）。该方案同时研究了不同尺度视频编码的层间率失真交互优化性能，</w:t>
            </w:r>
            <w:r>
              <w:rPr>
                <w:rFonts w:hint="eastAsia" w:cstheme="minorBidi"/>
                <w:b/>
                <w:color w:val="auto"/>
                <w:sz w:val="21"/>
                <w:szCs w:val="21"/>
              </w:rPr>
              <w:t>相关模型对于基于其他失真指标的可变尺度视频编码优化也具有积极的指导意义</w:t>
            </w:r>
            <w:r>
              <w:rPr>
                <w:rFonts w:hint="eastAsia" w:cstheme="minorBidi"/>
                <w:color w:val="auto"/>
                <w:sz w:val="21"/>
                <w:szCs w:val="21"/>
              </w:rPr>
              <w:t>。此外，在现实生活的消费视频服务中，比如</w:t>
            </w:r>
            <w:r>
              <w:rPr>
                <w:rFonts w:cstheme="minorBidi"/>
                <w:color w:val="auto"/>
                <w:sz w:val="21"/>
                <w:szCs w:val="21"/>
              </w:rPr>
              <w:t>IPTV</w:t>
            </w:r>
            <w:r>
              <w:rPr>
                <w:rFonts w:hint="eastAsia" w:cstheme="minorBidi"/>
                <w:color w:val="auto"/>
                <w:sz w:val="21"/>
                <w:szCs w:val="21"/>
              </w:rPr>
              <w:t>，视频点播和移动视频中，视频质量并非支持用户体验特质的唯一要素。在整个视频传输系统中，用户体验受制于视频压缩，网络传输，解码纠错，客户端播放，用户期望以及环境要素等等。对相关要素进行分析研究，有助于提升视频传输的效能和受众满意度。为此，</w:t>
            </w:r>
            <w:r>
              <w:rPr>
                <w:rFonts w:hint="eastAsia" w:cstheme="minorBidi"/>
                <w:b/>
                <w:color w:val="auto"/>
                <w:sz w:val="21"/>
                <w:szCs w:val="21"/>
              </w:rPr>
              <w:t>被推荐人研究了影响</w:t>
            </w:r>
            <w:r>
              <w:rPr>
                <w:rFonts w:cstheme="minorBidi"/>
                <w:b/>
                <w:color w:val="auto"/>
                <w:sz w:val="21"/>
                <w:szCs w:val="21"/>
              </w:rPr>
              <w:t>QoE</w:t>
            </w:r>
            <w:r>
              <w:rPr>
                <w:rFonts w:hint="eastAsia" w:cstheme="minorBidi"/>
                <w:b/>
                <w:color w:val="auto"/>
                <w:sz w:val="21"/>
                <w:szCs w:val="21"/>
              </w:rPr>
              <w:t>的众多要素，特别是人的心理和环境要素，并分析了</w:t>
            </w:r>
            <w:r>
              <w:rPr>
                <w:rFonts w:cstheme="minorBidi"/>
                <w:b/>
                <w:color w:val="auto"/>
                <w:sz w:val="21"/>
                <w:szCs w:val="21"/>
              </w:rPr>
              <w:t>QoE</w:t>
            </w:r>
            <w:r>
              <w:rPr>
                <w:rFonts w:hint="eastAsia" w:cstheme="minorBidi"/>
                <w:b/>
                <w:color w:val="auto"/>
                <w:sz w:val="21"/>
                <w:szCs w:val="21"/>
              </w:rPr>
              <w:t>的未来研究趋势</w:t>
            </w:r>
            <w:r>
              <w:rPr>
                <w:rFonts w:hint="eastAsia" w:cstheme="minorBidi"/>
                <w:color w:val="auto"/>
                <w:sz w:val="21"/>
                <w:szCs w:val="21"/>
              </w:rPr>
              <w:t>（下文[1]）。被推荐人同时发现，通过引入认知科学的方法进行交叉学科研究，可以对部分终端要素进行测量。被推荐人基于自然图像和视频的统计特性，研究了用户认知行为心理和网络稳定性对于传输视频的质量波动以及相应用户</w:t>
            </w:r>
            <w:r>
              <w:rPr>
                <w:rFonts w:cstheme="minorBidi"/>
                <w:color w:val="auto"/>
                <w:sz w:val="21"/>
                <w:szCs w:val="21"/>
              </w:rPr>
              <w:t>QoE</w:t>
            </w:r>
            <w:r>
              <w:rPr>
                <w:rFonts w:hint="eastAsia" w:cstheme="minorBidi"/>
                <w:color w:val="auto"/>
                <w:sz w:val="21"/>
                <w:szCs w:val="21"/>
              </w:rPr>
              <w:t>的影响,</w:t>
            </w:r>
            <w:r>
              <w:rPr>
                <w:rFonts w:hint="eastAsia" w:cstheme="minorBidi"/>
                <w:b/>
                <w:color w:val="auto"/>
                <w:sz w:val="21"/>
                <w:szCs w:val="21"/>
              </w:rPr>
              <w:t>相关工作已作为国家自然科学基金面上项目《基于感知与记忆模型的移动视频通信动态体验质量研究》进行后续研究</w:t>
            </w:r>
            <w:r>
              <w:rPr>
                <w:rFonts w:hint="eastAsia" w:cstheme="minorBidi"/>
                <w:color w:val="auto"/>
                <w:sz w:val="21"/>
                <w:szCs w:val="21"/>
              </w:rPr>
              <w:t>。</w:t>
            </w:r>
          </w:p>
          <w:p>
            <w:pPr>
              <w:ind w:firstLine="435"/>
              <w:rPr>
                <w:rFonts w:hAnsi="宋体"/>
                <w:kern w:val="0"/>
              </w:rPr>
            </w:pPr>
            <w:r>
              <w:rPr>
                <w:rFonts w:ascii="宋体" w:hAnsi="宋体"/>
                <w:b/>
                <w:kern w:val="0"/>
                <w:szCs w:val="21"/>
              </w:rPr>
              <w:t>最近十年来，被推荐人和国内外相关领域权威专家（包括四位IEEE</w:t>
            </w:r>
            <w:r>
              <w:rPr>
                <w:rFonts w:hint="eastAsia" w:ascii="宋体" w:hAnsi="宋体"/>
                <w:b/>
                <w:kern w:val="0"/>
                <w:szCs w:val="21"/>
              </w:rPr>
              <w:t xml:space="preserve"> Fellow</w:t>
            </w:r>
            <w:r>
              <w:rPr>
                <w:rFonts w:ascii="宋体" w:hAnsi="宋体"/>
                <w:b/>
                <w:kern w:val="0"/>
                <w:szCs w:val="21"/>
              </w:rPr>
              <w:t>）保持长期紧密合作，相关研究处于国际先进水平，</w:t>
            </w:r>
            <w:r>
              <w:rPr>
                <w:rFonts w:hint="eastAsia" w:ascii="宋体" w:hAnsi="宋体"/>
                <w:b/>
                <w:kern w:val="0"/>
                <w:szCs w:val="21"/>
              </w:rPr>
              <w:t>研发成果</w:t>
            </w:r>
            <w:r>
              <w:rPr>
                <w:rFonts w:ascii="宋体" w:hAnsi="宋体"/>
                <w:b/>
                <w:kern w:val="0"/>
                <w:szCs w:val="21"/>
              </w:rPr>
              <w:t>具有相对独立的知识产权。</w:t>
            </w:r>
            <w:r>
              <w:rPr>
                <w:rFonts w:hint="eastAsia" w:ascii="宋体" w:hAnsi="宋体"/>
                <w:kern w:val="0"/>
                <w:szCs w:val="21"/>
              </w:rPr>
              <w:t>被推荐人针对</w:t>
            </w:r>
            <w:r>
              <w:rPr>
                <w:rFonts w:ascii="宋体" w:hAnsi="宋体"/>
                <w:kern w:val="0"/>
                <w:szCs w:val="21"/>
              </w:rPr>
              <w:t>视频编码</w:t>
            </w:r>
            <w:r>
              <w:rPr>
                <w:rFonts w:hint="eastAsia" w:ascii="宋体" w:hAnsi="宋体"/>
                <w:kern w:val="0"/>
                <w:szCs w:val="21"/>
              </w:rPr>
              <w:t>的</w:t>
            </w:r>
            <w:r>
              <w:rPr>
                <w:rFonts w:ascii="宋体" w:hAnsi="宋体"/>
                <w:kern w:val="0"/>
                <w:szCs w:val="21"/>
              </w:rPr>
              <w:t>工作</w:t>
            </w:r>
            <w:r>
              <w:rPr>
                <w:rFonts w:hint="eastAsia" w:ascii="宋体" w:hAnsi="宋体"/>
                <w:kern w:val="0"/>
                <w:szCs w:val="21"/>
              </w:rPr>
              <w:t>与国际</w:t>
            </w:r>
            <w:r>
              <w:rPr>
                <w:rFonts w:ascii="宋体" w:hAnsi="宋体"/>
                <w:kern w:val="0"/>
                <w:szCs w:val="21"/>
              </w:rPr>
              <w:t>技术研发前沿</w:t>
            </w:r>
            <w:r>
              <w:rPr>
                <w:rFonts w:hint="eastAsia" w:ascii="宋体" w:hAnsi="宋体"/>
                <w:kern w:val="0"/>
                <w:szCs w:val="21"/>
              </w:rPr>
              <w:t>同步</w:t>
            </w:r>
            <w:r>
              <w:rPr>
                <w:rFonts w:ascii="宋体" w:hAnsi="宋体"/>
                <w:kern w:val="0"/>
                <w:szCs w:val="21"/>
              </w:rPr>
              <w:t>，</w:t>
            </w:r>
            <w:r>
              <w:rPr>
                <w:rFonts w:hint="eastAsia" w:ascii="宋体" w:hAnsi="宋体"/>
                <w:kern w:val="0"/>
                <w:szCs w:val="21"/>
              </w:rPr>
              <w:t>相关成果</w:t>
            </w:r>
            <w:r>
              <w:rPr>
                <w:rFonts w:ascii="宋体" w:hAnsi="宋体"/>
                <w:kern w:val="0"/>
                <w:szCs w:val="21"/>
              </w:rPr>
              <w:t>可嵌入到我国AVS标准中，提高我国在视频编码</w:t>
            </w:r>
            <w:r>
              <w:rPr>
                <w:rFonts w:hint="eastAsia" w:ascii="宋体" w:hAnsi="宋体"/>
                <w:kern w:val="0"/>
                <w:szCs w:val="21"/>
              </w:rPr>
              <w:t>标准</w:t>
            </w:r>
            <w:r>
              <w:rPr>
                <w:rFonts w:ascii="宋体" w:hAnsi="宋体"/>
                <w:kern w:val="0"/>
                <w:szCs w:val="21"/>
              </w:rPr>
              <w:t>领域的竞争力</w:t>
            </w:r>
            <w:r>
              <w:rPr>
                <w:rFonts w:hint="eastAsia" w:ascii="宋体" w:hAnsi="宋体"/>
                <w:kern w:val="0"/>
                <w:szCs w:val="21"/>
              </w:rPr>
              <w:t>。被推荐人</w:t>
            </w:r>
            <w:r>
              <w:rPr>
                <w:rFonts w:ascii="宋体" w:hAnsi="宋体"/>
                <w:kern w:val="0"/>
                <w:szCs w:val="21"/>
              </w:rPr>
              <w:t>首次提出</w:t>
            </w:r>
            <w:r>
              <w:rPr>
                <w:rFonts w:hint="eastAsia" w:ascii="宋体" w:hAnsi="宋体"/>
                <w:kern w:val="0"/>
                <w:szCs w:val="21"/>
              </w:rPr>
              <w:t>并</w:t>
            </w:r>
            <w:r>
              <w:rPr>
                <w:rFonts w:ascii="宋体" w:hAnsi="宋体"/>
                <w:kern w:val="0"/>
                <w:szCs w:val="21"/>
              </w:rPr>
              <w:t>实现了针对用户可控编码的研究，</w:t>
            </w:r>
            <w:r>
              <w:rPr>
                <w:rFonts w:hint="eastAsia" w:ascii="宋体" w:hAnsi="宋体"/>
                <w:kern w:val="0"/>
                <w:szCs w:val="21"/>
              </w:rPr>
              <w:t>有助于使得</w:t>
            </w:r>
            <w:r>
              <w:rPr>
                <w:rFonts w:ascii="宋体" w:hAnsi="宋体"/>
                <w:kern w:val="0"/>
                <w:szCs w:val="21"/>
              </w:rPr>
              <w:t>单视频编码器同时适用于多种终端环境。</w:t>
            </w:r>
            <w:r>
              <w:rPr>
                <w:rFonts w:hint="eastAsia" w:ascii="宋体" w:hAnsi="宋体"/>
                <w:kern w:val="0"/>
                <w:szCs w:val="21"/>
              </w:rPr>
              <w:t>被推荐人</w:t>
            </w:r>
            <w:r>
              <w:rPr>
                <w:rFonts w:ascii="宋体" w:hAnsi="宋体"/>
                <w:kern w:val="0"/>
                <w:szCs w:val="21"/>
              </w:rPr>
              <w:t>针对基于SSIM的视频编码器设计，有助于在</w:t>
            </w:r>
            <w:r>
              <w:rPr>
                <w:rFonts w:hint="eastAsia" w:ascii="宋体" w:hAnsi="宋体"/>
                <w:kern w:val="0"/>
                <w:szCs w:val="21"/>
              </w:rPr>
              <w:t>不改变视频</w:t>
            </w:r>
            <w:r>
              <w:rPr>
                <w:rFonts w:ascii="宋体" w:hAnsi="宋体"/>
                <w:kern w:val="0"/>
                <w:szCs w:val="21"/>
              </w:rPr>
              <w:t>编码框架的基础上，提升一个代际的产品竞争力。</w:t>
            </w:r>
            <w:r>
              <w:rPr>
                <w:rFonts w:hint="eastAsia" w:ascii="宋体" w:hAnsi="宋体"/>
                <w:kern w:val="0"/>
                <w:szCs w:val="21"/>
              </w:rPr>
              <w:t>被推荐人</w:t>
            </w:r>
            <w:r>
              <w:rPr>
                <w:rFonts w:ascii="宋体" w:hAnsi="宋体"/>
                <w:kern w:val="0"/>
                <w:szCs w:val="21"/>
              </w:rPr>
              <w:t>针对视频体验的研究</w:t>
            </w:r>
            <w:r>
              <w:rPr>
                <w:rFonts w:hint="eastAsia" w:ascii="宋体" w:hAnsi="宋体"/>
                <w:kern w:val="0"/>
                <w:szCs w:val="21"/>
              </w:rPr>
              <w:t>紧扣</w:t>
            </w:r>
            <w:r>
              <w:rPr>
                <w:rFonts w:ascii="宋体" w:hAnsi="宋体"/>
                <w:kern w:val="0"/>
                <w:szCs w:val="21"/>
              </w:rPr>
              <w:t>消费互联网的用户需求特别是移动用户需求，可直接</w:t>
            </w:r>
            <w:r>
              <w:rPr>
                <w:rFonts w:hint="eastAsia" w:ascii="宋体" w:hAnsi="宋体"/>
                <w:kern w:val="0"/>
                <w:szCs w:val="21"/>
              </w:rPr>
              <w:t>和</w:t>
            </w:r>
            <w:r>
              <w:rPr>
                <w:rFonts w:ascii="宋体" w:hAnsi="宋体"/>
                <w:kern w:val="0"/>
                <w:szCs w:val="21"/>
              </w:rPr>
              <w:t>企业对接并产品化。</w:t>
            </w:r>
            <w:r>
              <w:rPr>
                <w:rFonts w:ascii="宋体" w:hAnsi="宋体"/>
                <w:b/>
                <w:kern w:val="0"/>
                <w:szCs w:val="21"/>
              </w:rPr>
              <w:t>目前国际上针对</w:t>
            </w:r>
            <w:r>
              <w:rPr>
                <w:rFonts w:hint="eastAsia" w:ascii="宋体" w:hAnsi="宋体"/>
                <w:b/>
                <w:kern w:val="0"/>
                <w:szCs w:val="21"/>
              </w:rPr>
              <w:t>基于</w:t>
            </w:r>
            <w:r>
              <w:rPr>
                <w:rFonts w:ascii="宋体" w:hAnsi="宋体"/>
                <w:b/>
                <w:kern w:val="0"/>
                <w:szCs w:val="21"/>
              </w:rPr>
              <w:t>环境和用户要素的研究尚处于起步阶段，被推荐人在部分领域具有相对的先发优势。</w:t>
            </w:r>
            <w:r>
              <w:rPr>
                <w:rFonts w:hint="eastAsia" w:ascii="宋体" w:hAnsi="宋体"/>
                <w:b/>
                <w:kern w:val="0"/>
                <w:szCs w:val="21"/>
              </w:rPr>
              <w:t>该</w:t>
            </w:r>
            <w:r>
              <w:rPr>
                <w:rFonts w:ascii="宋体" w:hAnsi="宋体"/>
                <w:b/>
                <w:kern w:val="0"/>
                <w:szCs w:val="21"/>
              </w:rPr>
              <w:t>研究可以直接和省内广播电视和互联网视频产业紧密结合，以通过视频消费产业产生巨大的经济效益，并提升相对于省外企业的科技竞争力。</w:t>
            </w:r>
          </w:p>
          <w:p>
            <w:pPr>
              <w:spacing w:line="400" w:lineRule="exact"/>
              <w:rPr>
                <w:rFonts w:ascii="宋体" w:hAnsi="宋体"/>
                <w:spacing w:val="2"/>
              </w:rPr>
            </w:pPr>
          </w:p>
        </w:tc>
      </w:tr>
    </w:tbl>
    <w:p>
      <w:pPr>
        <w:widowControl/>
        <w:jc w:val="left"/>
        <w:rPr>
          <w:rFonts w:ascii="宋体" w:hAnsi="宋体" w:eastAsia="黑体"/>
          <w:sz w:val="30"/>
          <w:szCs w:val="30"/>
        </w:rPr>
      </w:pPr>
      <w:r>
        <w:rPr>
          <w:rFonts w:ascii="宋体" w:hAnsi="宋体" w:eastAsia="黑体"/>
          <w:sz w:val="30"/>
          <w:szCs w:val="30"/>
        </w:rPr>
        <w:br w:type="page"/>
      </w:r>
      <w:r>
        <w:rPr>
          <w:rFonts w:hint="eastAsia" w:ascii="宋体" w:hAnsi="宋体" w:eastAsia="黑体"/>
          <w:sz w:val="30"/>
          <w:szCs w:val="30"/>
        </w:rPr>
        <w:t>八、发表论文、专著的情况</w:t>
      </w:r>
    </w:p>
    <w:tbl>
      <w:tblPr>
        <w:tblStyle w:val="11"/>
        <w:tblW w:w="8971" w:type="dxa"/>
        <w:jc w:val="center"/>
        <w:tblInd w:w="0" w:type="dxa"/>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fixed"/>
        <w:tblCellMar>
          <w:top w:w="0" w:type="dxa"/>
          <w:left w:w="108" w:type="dxa"/>
          <w:bottom w:w="0" w:type="dxa"/>
          <w:right w:w="108" w:type="dxa"/>
        </w:tblCellMar>
      </w:tblPr>
      <w:tblGrid>
        <w:gridCol w:w="8971"/>
      </w:tblGrid>
      <w:tr>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fixed"/>
          <w:tblCellMar>
            <w:top w:w="0" w:type="dxa"/>
            <w:left w:w="108" w:type="dxa"/>
            <w:bottom w:w="0" w:type="dxa"/>
            <w:right w:w="108" w:type="dxa"/>
          </w:tblCellMar>
        </w:tblPrEx>
        <w:trPr>
          <w:trHeight w:val="10708" w:hRule="atLeast"/>
          <w:jc w:val="center"/>
        </w:trPr>
        <w:tc>
          <w:tcPr>
            <w:tcW w:w="8971" w:type="dxa"/>
            <w:tcBorders>
              <w:top w:val="single" w:color="auto" w:sz="4" w:space="0"/>
              <w:left w:val="single" w:color="auto" w:sz="4" w:space="0"/>
              <w:bottom w:val="single" w:color="auto" w:sz="4" w:space="0"/>
              <w:right w:val="single" w:color="auto" w:sz="4" w:space="0"/>
            </w:tcBorders>
          </w:tcPr>
          <w:p>
            <w:pPr>
              <w:spacing w:line="400" w:lineRule="exact"/>
              <w:ind w:firstLine="420" w:firstLineChars="200"/>
              <w:rPr>
                <w:rFonts w:ascii="宋体" w:hAnsi="宋体"/>
              </w:rPr>
            </w:pPr>
            <w:r>
              <w:rPr>
                <w:rFonts w:hint="eastAsia" w:ascii="宋体" w:hAnsi="宋体"/>
              </w:rPr>
              <w:t>论文须注明论文名称、论文作者、发表刊物名称、发表日期、刊物影响因子、他引次数等信息；专著须注明专著名称、出版单位名称、出版年份等信息。</w:t>
            </w:r>
          </w:p>
          <w:p>
            <w:pPr>
              <w:spacing w:line="400" w:lineRule="exact"/>
              <w:ind w:firstLine="420" w:firstLineChars="200"/>
              <w:rPr>
                <w:rFonts w:ascii="宋体" w:hAnsi="宋体"/>
              </w:rPr>
            </w:pPr>
          </w:p>
          <w:p>
            <w:pPr>
              <w:ind w:left="300" w:hanging="300" w:hangingChars="150"/>
              <w:rPr>
                <w:rFonts w:ascii="Times New Roman" w:hAnsi="Times New Roman" w:cs="Times New Roman"/>
                <w:sz w:val="20"/>
                <w:szCs w:val="20"/>
              </w:rPr>
            </w:pPr>
            <w:r>
              <w:rPr>
                <w:rFonts w:ascii="Times New Roman" w:hAnsi="Times New Roman" w:cs="Times New Roman"/>
                <w:sz w:val="20"/>
                <w:szCs w:val="20"/>
              </w:rPr>
              <w:t xml:space="preserve">[1] “QoE in Video Transmission: A User Experience-Driven Strategy”; </w:t>
            </w:r>
            <w:r>
              <w:rPr>
                <w:rFonts w:ascii="Times New Roman" w:hAnsi="Times New Roman" w:cs="Times New Roman"/>
                <w:b/>
                <w:sz w:val="20"/>
                <w:szCs w:val="20"/>
              </w:rPr>
              <w:t>T. Zhao （赵铁松）</w:t>
            </w:r>
            <w:r>
              <w:rPr>
                <w:rFonts w:ascii="Times New Roman" w:hAnsi="Times New Roman" w:cs="Times New Roman"/>
                <w:sz w:val="20"/>
                <w:szCs w:val="20"/>
              </w:rPr>
              <w:t>, Q. Liu, and C. W.  Chen;   IEEE Communications Surveys &amp; Tutorials; vol. 19, no. 1, 2017; 影响因子</w:t>
            </w:r>
            <w:r>
              <w:rPr>
                <w:rFonts w:ascii="Times New Roman" w:hAnsi="Times New Roman" w:cs="Times New Roman"/>
                <w:sz w:val="20"/>
                <w:szCs w:val="20"/>
                <w:u w:val="single"/>
              </w:rPr>
              <w:t>17.188</w:t>
            </w:r>
            <w:r>
              <w:rPr>
                <w:rFonts w:ascii="Times New Roman" w:hAnsi="Times New Roman" w:cs="Times New Roman"/>
                <w:sz w:val="20"/>
                <w:szCs w:val="20"/>
              </w:rPr>
              <w:t>; 他引次数2</w:t>
            </w:r>
          </w:p>
          <w:p>
            <w:pPr>
              <w:ind w:left="300" w:hanging="300" w:hangingChars="150"/>
              <w:rPr>
                <w:rFonts w:ascii="Times New Roman" w:hAnsi="Times New Roman" w:cs="Times New Roman"/>
                <w:sz w:val="20"/>
                <w:szCs w:val="20"/>
              </w:rPr>
            </w:pPr>
            <w:r>
              <w:rPr>
                <w:rFonts w:hint="eastAsia" w:ascii="Times New Roman" w:hAnsi="Times New Roman" w:cs="Times New Roman"/>
                <w:sz w:val="20"/>
                <w:szCs w:val="20"/>
              </w:rPr>
              <w:t>[2]</w:t>
            </w:r>
            <w:r>
              <w:rPr>
                <w:rFonts w:ascii="Times New Roman" w:hAnsi="Times New Roman" w:cs="Times New Roman"/>
                <w:sz w:val="20"/>
                <w:szCs w:val="20"/>
              </w:rPr>
              <w:t>“Flexible Mode Selection and Complexity Allocation in High Efficiency Video Coding” ;</w:t>
            </w:r>
            <w:r>
              <w:rPr>
                <w:rFonts w:hint="eastAsia" w:ascii="Times New Roman" w:hAnsi="Times New Roman" w:cs="Times New Roman"/>
                <w:sz w:val="20"/>
                <w:szCs w:val="20"/>
              </w:rPr>
              <w:t xml:space="preserve"> </w:t>
            </w:r>
            <w:r>
              <w:rPr>
                <w:rFonts w:ascii="Times New Roman" w:hAnsi="Times New Roman" w:cs="Times New Roman"/>
                <w:b/>
                <w:sz w:val="20"/>
                <w:szCs w:val="20"/>
              </w:rPr>
              <w:t>T. Zhao（赵铁松）</w:t>
            </w:r>
            <w:r>
              <w:rPr>
                <w:rFonts w:ascii="Times New Roman" w:hAnsi="Times New Roman" w:cs="Times New Roman"/>
                <w:sz w:val="20"/>
                <w:szCs w:val="20"/>
              </w:rPr>
              <w:t>, Z. Wang and S. Kwong; IEEE Journal of Selected Topics in Signal Processing; vol.7, no. 6, 2013; 影响因子</w:t>
            </w:r>
            <w:r>
              <w:rPr>
                <w:rFonts w:ascii="Times New Roman" w:hAnsi="Times New Roman" w:cs="Times New Roman"/>
                <w:sz w:val="20"/>
                <w:szCs w:val="20"/>
                <w:u w:val="single"/>
              </w:rPr>
              <w:t>5.301</w:t>
            </w:r>
            <w:r>
              <w:rPr>
                <w:rFonts w:ascii="Times New Roman" w:hAnsi="Times New Roman" w:cs="Times New Roman"/>
                <w:sz w:val="20"/>
                <w:szCs w:val="20"/>
              </w:rPr>
              <w:t>;</w:t>
            </w:r>
            <w:r>
              <w:rPr>
                <w:rFonts w:hint="eastAsia" w:ascii="Times New Roman" w:hAnsi="Times New Roman" w:cs="Times New Roman"/>
                <w:sz w:val="20"/>
                <w:szCs w:val="20"/>
              </w:rPr>
              <w:t xml:space="preserve"> </w:t>
            </w:r>
            <w:r>
              <w:rPr>
                <w:rFonts w:ascii="Times New Roman" w:hAnsi="Times New Roman" w:cs="Times New Roman"/>
                <w:sz w:val="20"/>
                <w:szCs w:val="20"/>
              </w:rPr>
              <w:t>他引次数39</w:t>
            </w:r>
          </w:p>
          <w:p>
            <w:pPr>
              <w:ind w:left="300" w:hanging="300" w:hangingChars="150"/>
              <w:rPr>
                <w:rFonts w:ascii="Times New Roman" w:hAnsi="Times New Roman" w:cs="Times New Roman"/>
                <w:sz w:val="20"/>
                <w:szCs w:val="20"/>
              </w:rPr>
            </w:pPr>
            <w:r>
              <w:rPr>
                <w:rFonts w:ascii="Times New Roman" w:hAnsi="Times New Roman" w:cs="Times New Roman"/>
                <w:sz w:val="20"/>
                <w:szCs w:val="20"/>
              </w:rPr>
              <w:t xml:space="preserve">[3] “Adaptive Quantization Parameter Cascading in HEVC Hierarchical Coding"; </w:t>
            </w:r>
            <w:r>
              <w:rPr>
                <w:rFonts w:ascii="Times New Roman" w:hAnsi="Times New Roman" w:cs="Times New Roman"/>
                <w:b/>
                <w:sz w:val="20"/>
                <w:szCs w:val="20"/>
              </w:rPr>
              <w:t>T. Zhao（赵铁松）</w:t>
            </w:r>
            <w:r>
              <w:rPr>
                <w:rFonts w:ascii="Times New Roman" w:hAnsi="Times New Roman" w:cs="Times New Roman"/>
                <w:sz w:val="20"/>
                <w:szCs w:val="20"/>
              </w:rPr>
              <w:t>, Z. Wang and C. W. Chen; IEEE Transactions on Image Processing; vol.25, no.7, 2016;</w:t>
            </w:r>
            <w:r>
              <w:rPr>
                <w:rFonts w:hint="eastAsia" w:ascii="Times New Roman" w:hAnsi="Times New Roman" w:cs="Times New Roman"/>
                <w:sz w:val="20"/>
                <w:szCs w:val="20"/>
              </w:rPr>
              <w:t xml:space="preserve"> </w:t>
            </w:r>
            <w:r>
              <w:rPr>
                <w:rFonts w:ascii="Times New Roman" w:hAnsi="Times New Roman" w:cs="Times New Roman"/>
                <w:sz w:val="20"/>
                <w:szCs w:val="20"/>
              </w:rPr>
              <w:t>影响因子</w:t>
            </w:r>
            <w:r>
              <w:rPr>
                <w:rFonts w:ascii="Times New Roman" w:hAnsi="Times New Roman" w:cs="Times New Roman"/>
                <w:sz w:val="20"/>
                <w:szCs w:val="20"/>
                <w:u w:val="single"/>
              </w:rPr>
              <w:t>4.828</w:t>
            </w:r>
            <w:r>
              <w:rPr>
                <w:rFonts w:ascii="Times New Roman" w:hAnsi="Times New Roman" w:cs="Times New Roman"/>
                <w:sz w:val="20"/>
                <w:szCs w:val="20"/>
              </w:rPr>
              <w:t>;</w:t>
            </w:r>
            <w:r>
              <w:rPr>
                <w:rFonts w:hint="eastAsia" w:ascii="Times New Roman" w:hAnsi="Times New Roman" w:cs="Times New Roman"/>
                <w:sz w:val="20"/>
                <w:szCs w:val="20"/>
              </w:rPr>
              <w:t xml:space="preserve"> </w:t>
            </w:r>
            <w:r>
              <w:rPr>
                <w:rFonts w:ascii="Times New Roman" w:hAnsi="Times New Roman" w:cs="Times New Roman"/>
                <w:sz w:val="20"/>
                <w:szCs w:val="20"/>
              </w:rPr>
              <w:t>他引次数2</w:t>
            </w:r>
          </w:p>
          <w:p>
            <w:pPr>
              <w:ind w:left="300" w:hanging="300" w:hangingChars="150"/>
              <w:rPr>
                <w:rFonts w:ascii="Times New Roman" w:hAnsi="Times New Roman" w:cs="Times New Roman"/>
                <w:sz w:val="20"/>
                <w:szCs w:val="20"/>
              </w:rPr>
            </w:pPr>
            <w:r>
              <w:rPr>
                <w:rFonts w:hint="eastAsia" w:ascii="Times New Roman" w:hAnsi="Times New Roman" w:cs="Times New Roman"/>
                <w:sz w:val="20"/>
                <w:szCs w:val="20"/>
              </w:rPr>
              <w:t>[4]</w:t>
            </w:r>
            <w:r>
              <w:rPr>
                <w:rFonts w:ascii="Times New Roman" w:hAnsi="Times New Roman" w:cs="Times New Roman"/>
                <w:sz w:val="20"/>
                <w:szCs w:val="20"/>
              </w:rPr>
              <w:t>“Multiview coding mode decision with hybrid optimal stopping model” ;</w:t>
            </w:r>
            <w:r>
              <w:rPr>
                <w:rFonts w:hint="eastAsia" w:ascii="Times New Roman" w:hAnsi="Times New Roman" w:cs="Times New Roman"/>
                <w:sz w:val="20"/>
                <w:szCs w:val="20"/>
              </w:rPr>
              <w:t xml:space="preserve"> </w:t>
            </w:r>
            <w:r>
              <w:rPr>
                <w:rFonts w:ascii="Times New Roman" w:hAnsi="Times New Roman" w:cs="Times New Roman"/>
                <w:b/>
                <w:sz w:val="20"/>
                <w:szCs w:val="20"/>
              </w:rPr>
              <w:t>T. Zhao（赵铁松）</w:t>
            </w:r>
            <w:r>
              <w:rPr>
                <w:rFonts w:ascii="Times New Roman" w:hAnsi="Times New Roman" w:cs="Times New Roman"/>
                <w:sz w:val="20"/>
                <w:szCs w:val="20"/>
              </w:rPr>
              <w:t>, S. Kwong, H. Wang, Z. Wang, Z. Pan and C.-C. J. Kuo; IEEE Transactions on Image Processing; vol. 22, no. 4, 2013;</w:t>
            </w:r>
            <w:r>
              <w:rPr>
                <w:rFonts w:hint="eastAsia" w:ascii="Times New Roman" w:hAnsi="Times New Roman" w:cs="Times New Roman"/>
                <w:sz w:val="20"/>
                <w:szCs w:val="20"/>
              </w:rPr>
              <w:t xml:space="preserve"> </w:t>
            </w:r>
            <w:r>
              <w:rPr>
                <w:rFonts w:ascii="Times New Roman" w:hAnsi="Times New Roman" w:cs="Times New Roman"/>
                <w:sz w:val="20"/>
                <w:szCs w:val="20"/>
              </w:rPr>
              <w:t>影响因子</w:t>
            </w:r>
            <w:r>
              <w:rPr>
                <w:rFonts w:ascii="Times New Roman" w:hAnsi="Times New Roman" w:cs="Times New Roman"/>
                <w:sz w:val="20"/>
                <w:szCs w:val="20"/>
                <w:u w:val="single"/>
              </w:rPr>
              <w:t>4.828</w:t>
            </w:r>
            <w:r>
              <w:rPr>
                <w:rFonts w:ascii="Times New Roman" w:hAnsi="Times New Roman" w:cs="Times New Roman"/>
                <w:sz w:val="20"/>
                <w:szCs w:val="20"/>
              </w:rPr>
              <w:t>;</w:t>
            </w:r>
            <w:r>
              <w:rPr>
                <w:rFonts w:hint="eastAsia" w:ascii="Times New Roman" w:hAnsi="Times New Roman" w:cs="Times New Roman"/>
                <w:sz w:val="20"/>
                <w:szCs w:val="20"/>
              </w:rPr>
              <w:t xml:space="preserve"> </w:t>
            </w:r>
            <w:r>
              <w:rPr>
                <w:rFonts w:ascii="Times New Roman" w:hAnsi="Times New Roman" w:cs="Times New Roman"/>
                <w:sz w:val="20"/>
                <w:szCs w:val="20"/>
              </w:rPr>
              <w:t>他引次数18</w:t>
            </w:r>
          </w:p>
          <w:p>
            <w:pPr>
              <w:ind w:left="300" w:hanging="300" w:hangingChars="150"/>
              <w:rPr>
                <w:rFonts w:ascii="Times New Roman" w:hAnsi="Times New Roman" w:cs="Times New Roman"/>
                <w:sz w:val="20"/>
                <w:szCs w:val="20"/>
              </w:rPr>
            </w:pPr>
            <w:r>
              <w:rPr>
                <w:rFonts w:hint="eastAsia" w:ascii="Times New Roman" w:hAnsi="Times New Roman" w:cs="Times New Roman"/>
                <w:sz w:val="20"/>
                <w:szCs w:val="20"/>
              </w:rPr>
              <w:t>[5]</w:t>
            </w:r>
            <w:r>
              <w:rPr>
                <w:rFonts w:ascii="Times New Roman" w:hAnsi="Times New Roman" w:cs="Times New Roman"/>
                <w:sz w:val="20"/>
                <w:szCs w:val="20"/>
              </w:rPr>
              <w:t>“H.264/SVC Mode Decision Based on Optimal Stopping Theory”;</w:t>
            </w:r>
            <w:r>
              <w:rPr>
                <w:rFonts w:hint="eastAsia" w:ascii="Times New Roman" w:hAnsi="Times New Roman" w:cs="Times New Roman"/>
                <w:sz w:val="20"/>
                <w:szCs w:val="20"/>
              </w:rPr>
              <w:t xml:space="preserve"> </w:t>
            </w:r>
            <w:r>
              <w:rPr>
                <w:rFonts w:ascii="Times New Roman" w:hAnsi="Times New Roman" w:cs="Times New Roman"/>
                <w:b/>
                <w:sz w:val="20"/>
                <w:szCs w:val="20"/>
              </w:rPr>
              <w:t>T. Zhao（赵铁松）</w:t>
            </w:r>
            <w:r>
              <w:rPr>
                <w:rFonts w:ascii="Times New Roman" w:hAnsi="Times New Roman" w:cs="Times New Roman"/>
                <w:sz w:val="20"/>
                <w:szCs w:val="20"/>
              </w:rPr>
              <w:t>, S. Kwong, H. Wang, and C.-C. J. Kuo; IEEE Transactions on Image Processing; vol. 21, no. 5, 2012;</w:t>
            </w:r>
            <w:r>
              <w:rPr>
                <w:rFonts w:hint="eastAsia" w:ascii="Times New Roman" w:hAnsi="Times New Roman" w:cs="Times New Roman"/>
                <w:sz w:val="20"/>
                <w:szCs w:val="20"/>
              </w:rPr>
              <w:t xml:space="preserve"> </w:t>
            </w:r>
            <w:r>
              <w:rPr>
                <w:rFonts w:ascii="Times New Roman" w:hAnsi="Times New Roman" w:cs="Times New Roman"/>
                <w:sz w:val="20"/>
                <w:szCs w:val="20"/>
              </w:rPr>
              <w:t>影响因子</w:t>
            </w:r>
            <w:r>
              <w:rPr>
                <w:rFonts w:ascii="Times New Roman" w:hAnsi="Times New Roman" w:cs="Times New Roman"/>
                <w:sz w:val="20"/>
                <w:szCs w:val="20"/>
                <w:u w:val="single"/>
              </w:rPr>
              <w:t>4.828</w:t>
            </w:r>
            <w:r>
              <w:rPr>
                <w:rFonts w:ascii="Times New Roman" w:hAnsi="Times New Roman" w:cs="Times New Roman"/>
                <w:sz w:val="20"/>
                <w:szCs w:val="20"/>
              </w:rPr>
              <w:t>;</w:t>
            </w:r>
            <w:r>
              <w:rPr>
                <w:rFonts w:hint="eastAsia" w:ascii="Times New Roman" w:hAnsi="Times New Roman" w:cs="Times New Roman"/>
                <w:sz w:val="20"/>
                <w:szCs w:val="20"/>
              </w:rPr>
              <w:t xml:space="preserve"> </w:t>
            </w:r>
            <w:r>
              <w:rPr>
                <w:rFonts w:ascii="Times New Roman" w:hAnsi="Times New Roman" w:cs="Times New Roman"/>
                <w:sz w:val="20"/>
                <w:szCs w:val="20"/>
              </w:rPr>
              <w:t>他引次数8</w:t>
            </w:r>
          </w:p>
          <w:p>
            <w:pPr>
              <w:ind w:left="300" w:hanging="300" w:hangingChars="150"/>
              <w:rPr>
                <w:rFonts w:ascii="Times New Roman" w:hAnsi="Times New Roman" w:cs="Times New Roman"/>
                <w:sz w:val="20"/>
                <w:szCs w:val="20"/>
              </w:rPr>
            </w:pPr>
            <w:r>
              <w:rPr>
                <w:rFonts w:hint="eastAsia" w:ascii="Times New Roman" w:hAnsi="Times New Roman" w:cs="Times New Roman"/>
                <w:sz w:val="20"/>
                <w:szCs w:val="20"/>
              </w:rPr>
              <w:t>[6]</w:t>
            </w:r>
            <w:r>
              <w:rPr>
                <w:rFonts w:ascii="Times New Roman" w:hAnsi="Times New Roman" w:cs="Times New Roman"/>
                <w:sz w:val="20"/>
                <w:szCs w:val="20"/>
              </w:rPr>
              <w:t>“SSIM-based Coarse Grain Scalable Video Coding”;</w:t>
            </w:r>
            <w:r>
              <w:rPr>
                <w:rFonts w:hint="eastAsia" w:ascii="Times New Roman" w:hAnsi="Times New Roman" w:cs="Times New Roman"/>
                <w:sz w:val="20"/>
                <w:szCs w:val="20"/>
              </w:rPr>
              <w:t xml:space="preserve"> </w:t>
            </w:r>
            <w:r>
              <w:rPr>
                <w:rFonts w:ascii="Times New Roman" w:hAnsi="Times New Roman" w:cs="Times New Roman"/>
                <w:b/>
                <w:sz w:val="20"/>
                <w:szCs w:val="20"/>
              </w:rPr>
              <w:t>T. Zhao（赵铁松）</w:t>
            </w:r>
            <w:r>
              <w:rPr>
                <w:rFonts w:ascii="Times New Roman" w:hAnsi="Times New Roman" w:cs="Times New Roman"/>
                <w:sz w:val="20"/>
                <w:szCs w:val="20"/>
              </w:rPr>
              <w:t>, J. Wang, Z. Wang and C.W. Chen; IEEE Transactions on Broadcasting; vol.61, no.2,</w:t>
            </w:r>
            <w:r>
              <w:rPr>
                <w:rFonts w:hint="eastAsia" w:ascii="Times New Roman" w:hAnsi="Times New Roman" w:cs="Times New Roman"/>
                <w:sz w:val="20"/>
                <w:szCs w:val="20"/>
              </w:rPr>
              <w:t xml:space="preserve"> </w:t>
            </w:r>
            <w:r>
              <w:rPr>
                <w:rFonts w:ascii="Times New Roman" w:hAnsi="Times New Roman" w:cs="Times New Roman"/>
                <w:sz w:val="20"/>
                <w:szCs w:val="20"/>
              </w:rPr>
              <w:t>2015;</w:t>
            </w:r>
            <w:r>
              <w:rPr>
                <w:rFonts w:hint="eastAsia" w:ascii="Times New Roman" w:hAnsi="Times New Roman" w:cs="Times New Roman"/>
                <w:sz w:val="20"/>
                <w:szCs w:val="20"/>
              </w:rPr>
              <w:t xml:space="preserve"> </w:t>
            </w:r>
            <w:r>
              <w:rPr>
                <w:rFonts w:ascii="Times New Roman" w:hAnsi="Times New Roman" w:cs="Times New Roman"/>
                <w:sz w:val="20"/>
                <w:szCs w:val="20"/>
              </w:rPr>
              <w:t>影响因子</w:t>
            </w:r>
            <w:r>
              <w:rPr>
                <w:rFonts w:ascii="Times New Roman" w:hAnsi="Times New Roman" w:cs="Times New Roman"/>
                <w:sz w:val="20"/>
                <w:szCs w:val="20"/>
                <w:u w:val="single"/>
              </w:rPr>
              <w:t>3.765</w:t>
            </w:r>
            <w:r>
              <w:rPr>
                <w:rFonts w:ascii="Times New Roman" w:hAnsi="Times New Roman" w:cs="Times New Roman"/>
                <w:sz w:val="20"/>
                <w:szCs w:val="20"/>
              </w:rPr>
              <w:t>;</w:t>
            </w:r>
            <w:r>
              <w:rPr>
                <w:rFonts w:hint="eastAsia" w:ascii="Times New Roman" w:hAnsi="Times New Roman" w:cs="Times New Roman"/>
                <w:sz w:val="20"/>
                <w:szCs w:val="20"/>
              </w:rPr>
              <w:t xml:space="preserve"> </w:t>
            </w:r>
            <w:r>
              <w:rPr>
                <w:rFonts w:ascii="Times New Roman" w:hAnsi="Times New Roman" w:cs="Times New Roman"/>
                <w:sz w:val="20"/>
                <w:szCs w:val="20"/>
              </w:rPr>
              <w:t>他引次数8</w:t>
            </w:r>
          </w:p>
          <w:p>
            <w:pPr>
              <w:ind w:left="300" w:hanging="300" w:hangingChars="150"/>
              <w:rPr>
                <w:rFonts w:ascii="Times New Roman" w:hAnsi="Times New Roman" w:cs="Times New Roman"/>
                <w:sz w:val="20"/>
                <w:szCs w:val="20"/>
              </w:rPr>
            </w:pPr>
            <w:r>
              <w:rPr>
                <w:rFonts w:hint="eastAsia" w:ascii="Times New Roman" w:hAnsi="Times New Roman" w:cs="Times New Roman"/>
                <w:sz w:val="20"/>
                <w:szCs w:val="20"/>
              </w:rPr>
              <w:t>[7</w:t>
            </w:r>
            <w:r>
              <w:rPr>
                <w:rFonts w:ascii="Times New Roman" w:hAnsi="Times New Roman" w:cs="Times New Roman"/>
                <w:sz w:val="20"/>
                <w:szCs w:val="20"/>
              </w:rPr>
              <w:t>] “Fast Mode Decision Based on Mode Adaptation”;</w:t>
            </w:r>
            <w:r>
              <w:rPr>
                <w:rFonts w:hint="eastAsia" w:ascii="Times New Roman" w:hAnsi="Times New Roman" w:cs="Times New Roman"/>
                <w:sz w:val="20"/>
                <w:szCs w:val="20"/>
              </w:rPr>
              <w:t xml:space="preserve"> </w:t>
            </w:r>
            <w:r>
              <w:rPr>
                <w:rFonts w:ascii="Times New Roman" w:hAnsi="Times New Roman" w:cs="Times New Roman"/>
                <w:b/>
                <w:sz w:val="20"/>
                <w:szCs w:val="20"/>
              </w:rPr>
              <w:t>T. Zhao（赵铁松）</w:t>
            </w:r>
            <w:r>
              <w:rPr>
                <w:rFonts w:ascii="Times New Roman" w:hAnsi="Times New Roman" w:cs="Times New Roman"/>
                <w:sz w:val="20"/>
                <w:szCs w:val="20"/>
              </w:rPr>
              <w:t>, H. Wang, S. Kwong, and C.-C. J. Kuo; IEEE Transactions on Circuits System for Video Technology; vol. 20, no. 5, 2010;</w:t>
            </w:r>
            <w:r>
              <w:rPr>
                <w:rFonts w:hint="eastAsia" w:ascii="Times New Roman" w:hAnsi="Times New Roman" w:cs="Times New Roman"/>
                <w:sz w:val="20"/>
                <w:szCs w:val="20"/>
              </w:rPr>
              <w:t xml:space="preserve"> </w:t>
            </w:r>
            <w:r>
              <w:rPr>
                <w:rFonts w:ascii="Times New Roman" w:hAnsi="Times New Roman" w:cs="Times New Roman"/>
                <w:sz w:val="20"/>
                <w:szCs w:val="20"/>
              </w:rPr>
              <w:t>影响因子</w:t>
            </w:r>
            <w:r>
              <w:rPr>
                <w:rFonts w:ascii="Times New Roman" w:hAnsi="Times New Roman" w:cs="Times New Roman"/>
                <w:sz w:val="20"/>
                <w:szCs w:val="20"/>
                <w:u w:val="single"/>
              </w:rPr>
              <w:t>3.599</w:t>
            </w:r>
            <w:r>
              <w:rPr>
                <w:rFonts w:ascii="Times New Roman" w:hAnsi="Times New Roman" w:cs="Times New Roman"/>
                <w:sz w:val="20"/>
                <w:szCs w:val="20"/>
              </w:rPr>
              <w:t>;</w:t>
            </w:r>
            <w:r>
              <w:rPr>
                <w:rFonts w:hint="eastAsia" w:ascii="Times New Roman" w:hAnsi="Times New Roman" w:cs="Times New Roman"/>
                <w:sz w:val="20"/>
                <w:szCs w:val="20"/>
              </w:rPr>
              <w:t xml:space="preserve"> </w:t>
            </w:r>
            <w:r>
              <w:rPr>
                <w:rFonts w:ascii="Times New Roman" w:hAnsi="Times New Roman" w:cs="Times New Roman"/>
                <w:sz w:val="20"/>
                <w:szCs w:val="20"/>
              </w:rPr>
              <w:t>他引次数41</w:t>
            </w:r>
          </w:p>
          <w:p>
            <w:pPr>
              <w:ind w:left="300" w:hanging="300" w:hangingChars="150"/>
              <w:rPr>
                <w:rFonts w:ascii="Times New Roman" w:hAnsi="Times New Roman" w:cs="Times New Roman"/>
                <w:sz w:val="20"/>
                <w:szCs w:val="20"/>
              </w:rPr>
            </w:pPr>
            <w:r>
              <w:rPr>
                <w:rFonts w:hint="eastAsia" w:ascii="Times New Roman" w:hAnsi="Times New Roman" w:cs="Times New Roman"/>
                <w:sz w:val="20"/>
                <w:szCs w:val="20"/>
              </w:rPr>
              <w:t>[8</w:t>
            </w:r>
            <w:r>
              <w:rPr>
                <w:rFonts w:ascii="Times New Roman" w:hAnsi="Times New Roman" w:cs="Times New Roman"/>
                <w:sz w:val="20"/>
                <w:szCs w:val="20"/>
              </w:rPr>
              <w:t>] “Hierarchical B-Picture Mode Decision in H.264/SVC”;</w:t>
            </w:r>
            <w:r>
              <w:rPr>
                <w:rFonts w:hint="eastAsia" w:ascii="Times New Roman" w:hAnsi="Times New Roman" w:cs="Times New Roman"/>
                <w:sz w:val="20"/>
                <w:szCs w:val="20"/>
              </w:rPr>
              <w:t xml:space="preserve"> </w:t>
            </w:r>
            <w:r>
              <w:rPr>
                <w:rFonts w:ascii="Times New Roman" w:hAnsi="Times New Roman" w:cs="Times New Roman"/>
                <w:b/>
                <w:sz w:val="20"/>
                <w:szCs w:val="20"/>
              </w:rPr>
              <w:t>T. Zhao（赵铁松）</w:t>
            </w:r>
            <w:r>
              <w:rPr>
                <w:rFonts w:ascii="Times New Roman" w:hAnsi="Times New Roman" w:cs="Times New Roman"/>
                <w:sz w:val="20"/>
                <w:szCs w:val="20"/>
              </w:rPr>
              <w:t>, H. Wang, S. Kwong, C.-C. J. Kuo and W. A. Halang;</w:t>
            </w:r>
            <w:r>
              <w:rPr>
                <w:rFonts w:hint="eastAsia" w:ascii="Times New Roman" w:hAnsi="Times New Roman" w:cs="Times New Roman"/>
                <w:sz w:val="20"/>
                <w:szCs w:val="20"/>
              </w:rPr>
              <w:t xml:space="preserve"> </w:t>
            </w:r>
            <w:r>
              <w:rPr>
                <w:rFonts w:ascii="Times New Roman" w:hAnsi="Times New Roman" w:cs="Times New Roman"/>
                <w:sz w:val="20"/>
                <w:szCs w:val="20"/>
              </w:rPr>
              <w:t>Journal of Visual Communication and Image Representation; vol. 22, no. 7, 2011;</w:t>
            </w:r>
            <w:r>
              <w:rPr>
                <w:rFonts w:hint="eastAsia" w:ascii="Times New Roman" w:hAnsi="Times New Roman" w:cs="Times New Roman"/>
                <w:sz w:val="20"/>
                <w:szCs w:val="20"/>
              </w:rPr>
              <w:t xml:space="preserve"> </w:t>
            </w:r>
            <w:r>
              <w:rPr>
                <w:rFonts w:ascii="Times New Roman" w:hAnsi="Times New Roman" w:cs="Times New Roman"/>
                <w:sz w:val="20"/>
                <w:szCs w:val="20"/>
              </w:rPr>
              <w:t>影响因子</w:t>
            </w:r>
            <w:r>
              <w:rPr>
                <w:rFonts w:ascii="Times New Roman" w:hAnsi="Times New Roman" w:cs="Times New Roman"/>
                <w:sz w:val="20"/>
                <w:szCs w:val="20"/>
                <w:u w:val="single"/>
              </w:rPr>
              <w:t>2.164</w:t>
            </w:r>
            <w:r>
              <w:rPr>
                <w:rFonts w:ascii="Times New Roman" w:hAnsi="Times New Roman" w:cs="Times New Roman"/>
                <w:sz w:val="20"/>
                <w:szCs w:val="20"/>
              </w:rPr>
              <w:t>;</w:t>
            </w:r>
            <w:r>
              <w:rPr>
                <w:rFonts w:hint="eastAsia" w:ascii="Times New Roman" w:hAnsi="Times New Roman" w:cs="Times New Roman"/>
                <w:sz w:val="20"/>
                <w:szCs w:val="20"/>
              </w:rPr>
              <w:t xml:space="preserve"> </w:t>
            </w:r>
            <w:r>
              <w:rPr>
                <w:rFonts w:ascii="Times New Roman" w:hAnsi="Times New Roman" w:cs="Times New Roman"/>
                <w:sz w:val="20"/>
                <w:szCs w:val="20"/>
              </w:rPr>
              <w:t>他引次数2</w:t>
            </w:r>
          </w:p>
          <w:p>
            <w:pPr>
              <w:ind w:left="300" w:hanging="300" w:hangingChars="150"/>
              <w:rPr>
                <w:rFonts w:ascii="Times New Roman" w:hAnsi="Times New Roman" w:cs="Times New Roman"/>
                <w:sz w:val="20"/>
                <w:szCs w:val="20"/>
              </w:rPr>
            </w:pPr>
            <w:r>
              <w:rPr>
                <w:rFonts w:hint="eastAsia" w:ascii="Times New Roman" w:hAnsi="Times New Roman" w:cs="Times New Roman"/>
                <w:sz w:val="20"/>
                <w:szCs w:val="20"/>
              </w:rPr>
              <w:t>[9]</w:t>
            </w:r>
            <w:r>
              <w:rPr>
                <w:rFonts w:ascii="Times New Roman" w:hAnsi="Times New Roman" w:cs="Times New Roman"/>
                <w:sz w:val="20"/>
                <w:szCs w:val="20"/>
              </w:rPr>
              <w:t>“</w:t>
            </w:r>
            <w:r>
              <w:fldChar w:fldCharType="begin"/>
            </w:r>
            <w:r>
              <w:instrText xml:space="preserve"> HYPERLINK "https://scholar.google.com/javascript:void(0)" </w:instrText>
            </w:r>
            <w:r>
              <w:fldChar w:fldCharType="separate"/>
            </w:r>
            <w:r>
              <w:rPr>
                <w:rFonts w:ascii="Times New Roman" w:hAnsi="Times New Roman" w:cs="Times New Roman"/>
                <w:sz w:val="20"/>
                <w:szCs w:val="20"/>
              </w:rPr>
              <w:t>Adaptive search range control in H. 265/HEVC with error propagation resilience and hierarchical adjustment</w:t>
            </w:r>
            <w:r>
              <w:rPr>
                <w:rFonts w:ascii="Times New Roman" w:hAnsi="Times New Roman" w:cs="Times New Roman"/>
                <w:sz w:val="20"/>
                <w:szCs w:val="20"/>
              </w:rPr>
              <w:fldChar w:fldCharType="end"/>
            </w:r>
            <w:r>
              <w:rPr>
                <w:rFonts w:ascii="Times New Roman" w:hAnsi="Times New Roman" w:cs="Times New Roman"/>
                <w:sz w:val="20"/>
                <w:szCs w:val="20"/>
              </w:rPr>
              <w:t>”;</w:t>
            </w:r>
            <w:r>
              <w:rPr>
                <w:rFonts w:hint="eastAsia" w:ascii="Times New Roman" w:hAnsi="Times New Roman" w:cs="Times New Roman"/>
                <w:sz w:val="20"/>
                <w:szCs w:val="20"/>
              </w:rPr>
              <w:t xml:space="preserve"> </w:t>
            </w:r>
            <w:r>
              <w:rPr>
                <w:rFonts w:ascii="Times New Roman" w:hAnsi="Times New Roman" w:cs="Times New Roman"/>
                <w:sz w:val="20"/>
                <w:szCs w:val="20"/>
              </w:rPr>
              <w:t>Y</w:t>
            </w:r>
            <w:r>
              <w:rPr>
                <w:rFonts w:hint="eastAsia" w:ascii="Times New Roman" w:hAnsi="Times New Roman" w:cs="Times New Roman"/>
                <w:sz w:val="20"/>
                <w:szCs w:val="20"/>
              </w:rPr>
              <w:t>.</w:t>
            </w:r>
            <w:r>
              <w:rPr>
                <w:rFonts w:ascii="Times New Roman" w:hAnsi="Times New Roman" w:cs="Times New Roman"/>
                <w:sz w:val="20"/>
                <w:szCs w:val="20"/>
              </w:rPr>
              <w:t xml:space="preserve"> Xu, Q</w:t>
            </w:r>
            <w:r>
              <w:rPr>
                <w:rFonts w:hint="eastAsia" w:ascii="Times New Roman" w:hAnsi="Times New Roman" w:cs="Times New Roman"/>
                <w:sz w:val="20"/>
                <w:szCs w:val="20"/>
              </w:rPr>
              <w:t>.</w:t>
            </w:r>
            <w:r>
              <w:rPr>
                <w:rFonts w:ascii="Times New Roman" w:hAnsi="Times New Roman" w:cs="Times New Roman"/>
                <w:sz w:val="20"/>
                <w:szCs w:val="20"/>
              </w:rPr>
              <w:t xml:space="preserve"> Li, J</w:t>
            </w:r>
            <w:r>
              <w:rPr>
                <w:rFonts w:hint="eastAsia" w:ascii="Times New Roman" w:hAnsi="Times New Roman" w:cs="Times New Roman"/>
                <w:sz w:val="20"/>
                <w:szCs w:val="20"/>
              </w:rPr>
              <w:t>.</w:t>
            </w:r>
            <w:r>
              <w:rPr>
                <w:rFonts w:ascii="Times New Roman" w:hAnsi="Times New Roman" w:cs="Times New Roman"/>
                <w:sz w:val="20"/>
                <w:szCs w:val="20"/>
              </w:rPr>
              <w:t xml:space="preserve"> Chen,</w:t>
            </w:r>
            <w:r>
              <w:rPr>
                <w:rFonts w:hint="eastAsia" w:ascii="Times New Roman" w:hAnsi="Times New Roman" w:cs="Times New Roman"/>
                <w:sz w:val="20"/>
                <w:szCs w:val="20"/>
              </w:rPr>
              <w:t xml:space="preserve"> and</w:t>
            </w:r>
            <w:r>
              <w:rPr>
                <w:rFonts w:ascii="Times New Roman" w:hAnsi="Times New Roman" w:cs="Times New Roman"/>
                <w:sz w:val="20"/>
                <w:szCs w:val="20"/>
              </w:rPr>
              <w:t xml:space="preserve"> </w:t>
            </w:r>
            <w:r>
              <w:rPr>
                <w:rFonts w:ascii="Times New Roman" w:hAnsi="Times New Roman" w:cs="Times New Roman"/>
                <w:b/>
                <w:sz w:val="20"/>
                <w:szCs w:val="20"/>
              </w:rPr>
              <w:t>T</w:t>
            </w:r>
            <w:r>
              <w:rPr>
                <w:rFonts w:hint="eastAsia" w:ascii="Times New Roman" w:hAnsi="Times New Roman" w:cs="Times New Roman"/>
                <w:b/>
                <w:sz w:val="20"/>
                <w:szCs w:val="20"/>
              </w:rPr>
              <w:t>.</w:t>
            </w:r>
            <w:r>
              <w:rPr>
                <w:rFonts w:ascii="Times New Roman" w:hAnsi="Times New Roman" w:cs="Times New Roman"/>
                <w:b/>
                <w:sz w:val="20"/>
                <w:szCs w:val="20"/>
              </w:rPr>
              <w:t xml:space="preserve"> Zhao（赵铁松/</w:t>
            </w:r>
            <w:r>
              <w:rPr>
                <w:rFonts w:hint="eastAsia" w:ascii="Times New Roman" w:hAnsi="Times New Roman" w:cs="Times New Roman"/>
                <w:b/>
                <w:sz w:val="20"/>
                <w:szCs w:val="20"/>
              </w:rPr>
              <w:t>通信作者</w:t>
            </w:r>
            <w:r>
              <w:rPr>
                <w:rFonts w:ascii="Times New Roman" w:hAnsi="Times New Roman" w:cs="Times New Roman"/>
                <w:b/>
                <w:sz w:val="20"/>
                <w:szCs w:val="20"/>
              </w:rPr>
              <w:t>）</w:t>
            </w:r>
            <w:r>
              <w:rPr>
                <w:rFonts w:ascii="Times New Roman" w:hAnsi="Times New Roman" w:cs="Times New Roman"/>
                <w:sz w:val="20"/>
                <w:szCs w:val="20"/>
              </w:rPr>
              <w:t>;</w:t>
            </w:r>
            <w:r>
              <w:rPr>
                <w:rFonts w:hint="eastAsia" w:ascii="Times New Roman" w:hAnsi="Times New Roman" w:cs="Times New Roman"/>
                <w:sz w:val="20"/>
                <w:szCs w:val="20"/>
              </w:rPr>
              <w:t xml:space="preserve"> </w:t>
            </w:r>
            <w:r>
              <w:rPr>
                <w:rFonts w:ascii="Times New Roman" w:hAnsi="Times New Roman" w:cs="Times New Roman"/>
                <w:sz w:val="20"/>
                <w:szCs w:val="20"/>
              </w:rPr>
              <w:t>Signal, Image and Video</w:t>
            </w:r>
            <w:r>
              <w:rPr>
                <w:rFonts w:hint="eastAsia" w:ascii="Times New Roman" w:hAnsi="Times New Roman" w:cs="Times New Roman"/>
                <w:sz w:val="20"/>
                <w:szCs w:val="20"/>
              </w:rPr>
              <w:t xml:space="preserve"> </w:t>
            </w:r>
            <w:r>
              <w:rPr>
                <w:rFonts w:ascii="Times New Roman" w:hAnsi="Times New Roman" w:cs="Times New Roman"/>
                <w:sz w:val="20"/>
                <w:szCs w:val="20"/>
              </w:rPr>
              <w:t>Processing;</w:t>
            </w:r>
            <w:r>
              <w:rPr>
                <w:rFonts w:hint="eastAsia" w:ascii="Times New Roman" w:hAnsi="Times New Roman" w:cs="Times New Roman"/>
                <w:sz w:val="20"/>
                <w:szCs w:val="20"/>
              </w:rPr>
              <w:t xml:space="preserve"> v</w:t>
            </w:r>
            <w:r>
              <w:rPr>
                <w:rFonts w:ascii="Times New Roman" w:hAnsi="Times New Roman" w:cs="Times New Roman"/>
                <w:sz w:val="20"/>
                <w:szCs w:val="20"/>
              </w:rPr>
              <w:t>ol.11, </w:t>
            </w:r>
            <w:r>
              <w:fldChar w:fldCharType="begin"/>
            </w:r>
            <w:r>
              <w:instrText xml:space="preserve"> HYPERLINK "http://ieeexplore.ieee.org/xpl/tocresult.jsp?isnumber=4456689" </w:instrText>
            </w:r>
            <w:r>
              <w:fldChar w:fldCharType="separate"/>
            </w:r>
            <w:r>
              <w:rPr>
                <w:rFonts w:ascii="Times New Roman" w:hAnsi="Times New Roman" w:cs="Times New Roman"/>
                <w:sz w:val="20"/>
                <w:szCs w:val="20"/>
              </w:rPr>
              <w:t>no.8</w:t>
            </w:r>
            <w:r>
              <w:rPr>
                <w:rFonts w:ascii="Times New Roman" w:hAnsi="Times New Roman" w:cs="Times New Roman"/>
                <w:sz w:val="20"/>
                <w:szCs w:val="20"/>
              </w:rPr>
              <w:fldChar w:fldCharType="end"/>
            </w:r>
            <w:r>
              <w:rPr>
                <w:rFonts w:hint="eastAsia" w:ascii="Times New Roman" w:hAnsi="Times New Roman" w:cs="Times New Roman"/>
                <w:sz w:val="20"/>
                <w:szCs w:val="20"/>
              </w:rPr>
              <w:t>,</w:t>
            </w:r>
            <w:r>
              <w:rPr>
                <w:rFonts w:ascii="Times New Roman" w:hAnsi="Times New Roman" w:cs="Times New Roman"/>
                <w:sz w:val="20"/>
                <w:szCs w:val="20"/>
              </w:rPr>
              <w:t xml:space="preserve"> </w:t>
            </w:r>
            <w:r>
              <w:rPr>
                <w:rFonts w:hint="eastAsia" w:ascii="Times New Roman" w:hAnsi="Times New Roman" w:cs="Times New Roman"/>
                <w:sz w:val="20"/>
                <w:szCs w:val="20"/>
              </w:rPr>
              <w:t xml:space="preserve">2017; </w:t>
            </w:r>
            <w:r>
              <w:rPr>
                <w:rFonts w:ascii="Times New Roman" w:hAnsi="Times New Roman" w:cs="Times New Roman"/>
                <w:sz w:val="20"/>
                <w:szCs w:val="20"/>
              </w:rPr>
              <w:t>影响因子</w:t>
            </w:r>
            <w:r>
              <w:rPr>
                <w:rFonts w:ascii="Times New Roman" w:hAnsi="Times New Roman" w:cs="Times New Roman"/>
                <w:sz w:val="20"/>
                <w:szCs w:val="20"/>
                <w:u w:val="single"/>
              </w:rPr>
              <w:t>1.102</w:t>
            </w:r>
            <w:r>
              <w:rPr>
                <w:rFonts w:ascii="Times New Roman" w:hAnsi="Times New Roman" w:cs="Times New Roman"/>
                <w:sz w:val="20"/>
                <w:szCs w:val="20"/>
              </w:rPr>
              <w:t>;</w:t>
            </w:r>
            <w:r>
              <w:rPr>
                <w:rFonts w:hint="eastAsia" w:ascii="Times New Roman" w:hAnsi="Times New Roman" w:cs="Times New Roman"/>
                <w:sz w:val="20"/>
                <w:szCs w:val="20"/>
              </w:rPr>
              <w:t xml:space="preserve"> </w:t>
            </w:r>
            <w:r>
              <w:rPr>
                <w:rFonts w:ascii="Times New Roman" w:hAnsi="Times New Roman" w:cs="Times New Roman"/>
                <w:sz w:val="20"/>
                <w:szCs w:val="20"/>
              </w:rPr>
              <w:t>他引次数0</w:t>
            </w:r>
          </w:p>
          <w:p>
            <w:pPr>
              <w:ind w:left="300" w:hanging="300" w:hangingChars="150"/>
              <w:rPr>
                <w:rFonts w:ascii="Times New Roman" w:hAnsi="Times New Roman" w:cs="Times New Roman"/>
                <w:sz w:val="20"/>
                <w:szCs w:val="20"/>
              </w:rPr>
            </w:pPr>
            <w:r>
              <w:rPr>
                <w:rFonts w:hint="eastAsia" w:ascii="Times New Roman" w:hAnsi="Times New Roman" w:cs="Times New Roman"/>
                <w:sz w:val="20"/>
                <w:szCs w:val="20"/>
              </w:rPr>
              <w:t>[10]</w:t>
            </w:r>
            <w:r>
              <w:rPr>
                <w:rFonts w:ascii="Times New Roman" w:hAnsi="Times New Roman" w:cs="Times New Roman"/>
                <w:sz w:val="20"/>
                <w:szCs w:val="20"/>
              </w:rPr>
              <w:t xml:space="preserve"> “Objective Quality Assessment for Color-to-Gray Image Conversion";</w:t>
            </w:r>
            <w:r>
              <w:rPr>
                <w:rFonts w:hint="eastAsia" w:ascii="Times New Roman" w:hAnsi="Times New Roman" w:cs="Times New Roman"/>
                <w:sz w:val="20"/>
                <w:szCs w:val="20"/>
              </w:rPr>
              <w:t xml:space="preserve"> </w:t>
            </w:r>
            <w:r>
              <w:rPr>
                <w:rFonts w:ascii="Times New Roman" w:hAnsi="Times New Roman" w:cs="Times New Roman"/>
                <w:sz w:val="20"/>
                <w:szCs w:val="20"/>
              </w:rPr>
              <w:t>K. Ma</w:t>
            </w:r>
            <w:r>
              <w:rPr>
                <w:rFonts w:ascii="Times New Roman" w:hAnsi="Times New Roman" w:cs="Times New Roman"/>
                <w:b/>
                <w:sz w:val="20"/>
                <w:szCs w:val="20"/>
              </w:rPr>
              <w:t>, T. Zhao（赵铁松）</w:t>
            </w:r>
            <w:r>
              <w:rPr>
                <w:rFonts w:ascii="Times New Roman" w:hAnsi="Times New Roman" w:cs="Times New Roman"/>
                <w:sz w:val="20"/>
                <w:szCs w:val="20"/>
              </w:rPr>
              <w:t>, K. Zeng and Z. Wang</w:t>
            </w:r>
            <w:r>
              <w:rPr>
                <w:rFonts w:hint="eastAsia" w:ascii="Times New Roman" w:hAnsi="Times New Roman" w:cs="Times New Roman"/>
                <w:sz w:val="20"/>
                <w:szCs w:val="20"/>
              </w:rPr>
              <w:t>;</w:t>
            </w:r>
            <w:r>
              <w:rPr>
                <w:rFonts w:ascii="Times New Roman" w:hAnsi="Times New Roman" w:cs="Times New Roman"/>
                <w:sz w:val="20"/>
                <w:szCs w:val="20"/>
              </w:rPr>
              <w:t xml:space="preserve"> IEEE Transactions on Image Processing; vol.24, no.12</w:t>
            </w:r>
            <w:r>
              <w:rPr>
                <w:rFonts w:hint="eastAsia" w:ascii="Times New Roman" w:hAnsi="Times New Roman" w:cs="Times New Roman"/>
                <w:sz w:val="20"/>
                <w:szCs w:val="20"/>
              </w:rPr>
              <w:t xml:space="preserve">, </w:t>
            </w:r>
            <w:r>
              <w:rPr>
                <w:rFonts w:ascii="Times New Roman" w:hAnsi="Times New Roman" w:cs="Times New Roman"/>
                <w:sz w:val="20"/>
                <w:szCs w:val="20"/>
              </w:rPr>
              <w:t>2015;</w:t>
            </w:r>
            <w:r>
              <w:rPr>
                <w:rFonts w:hint="eastAsia" w:ascii="Times New Roman" w:hAnsi="Times New Roman" w:cs="Times New Roman"/>
                <w:sz w:val="20"/>
                <w:szCs w:val="20"/>
              </w:rPr>
              <w:t xml:space="preserve"> </w:t>
            </w:r>
            <w:r>
              <w:rPr>
                <w:rFonts w:ascii="Times New Roman" w:hAnsi="Times New Roman" w:cs="Times New Roman"/>
                <w:sz w:val="20"/>
                <w:szCs w:val="20"/>
              </w:rPr>
              <w:t>影响因子</w:t>
            </w:r>
            <w:r>
              <w:rPr>
                <w:rFonts w:ascii="Times New Roman" w:hAnsi="Times New Roman" w:cs="Times New Roman"/>
                <w:sz w:val="20"/>
                <w:szCs w:val="20"/>
                <w:u w:val="single"/>
              </w:rPr>
              <w:t>4.828</w:t>
            </w:r>
            <w:r>
              <w:rPr>
                <w:rFonts w:ascii="Times New Roman" w:hAnsi="Times New Roman" w:cs="Times New Roman"/>
                <w:sz w:val="20"/>
                <w:szCs w:val="20"/>
              </w:rPr>
              <w:t>；他引次数23</w:t>
            </w:r>
          </w:p>
          <w:p>
            <w:pPr>
              <w:ind w:left="300" w:hanging="300" w:hangingChars="150"/>
              <w:rPr>
                <w:rFonts w:ascii="Times New Roman" w:hAnsi="Times New Roman" w:cs="Times New Roman"/>
                <w:sz w:val="20"/>
                <w:szCs w:val="20"/>
              </w:rPr>
            </w:pPr>
            <w:r>
              <w:rPr>
                <w:rFonts w:hint="eastAsia" w:ascii="Times New Roman" w:hAnsi="Times New Roman" w:cs="Times New Roman"/>
                <w:sz w:val="20"/>
                <w:szCs w:val="20"/>
              </w:rPr>
              <w:t>[11]</w:t>
            </w:r>
            <w:r>
              <w:rPr>
                <w:rFonts w:ascii="Times New Roman" w:hAnsi="Times New Roman" w:cs="Times New Roman"/>
                <w:sz w:val="20"/>
                <w:szCs w:val="20"/>
              </w:rPr>
              <w:t>“Rate Control Optimization for Temporal-Layer Scalable Video Coding”;</w:t>
            </w:r>
            <w:r>
              <w:rPr>
                <w:rFonts w:hint="eastAsia" w:ascii="Times New Roman" w:hAnsi="Times New Roman" w:cs="Times New Roman"/>
                <w:sz w:val="20"/>
                <w:szCs w:val="20"/>
              </w:rPr>
              <w:t xml:space="preserve"> </w:t>
            </w:r>
            <w:r>
              <w:rPr>
                <w:rFonts w:ascii="Times New Roman" w:hAnsi="Times New Roman" w:cs="Times New Roman"/>
                <w:sz w:val="20"/>
                <w:szCs w:val="20"/>
              </w:rPr>
              <w:t xml:space="preserve">S. Hu, H. Wang, S. Kwong, </w:t>
            </w:r>
            <w:r>
              <w:rPr>
                <w:rFonts w:ascii="Times New Roman" w:hAnsi="Times New Roman" w:cs="Times New Roman"/>
                <w:b/>
                <w:sz w:val="20"/>
                <w:szCs w:val="20"/>
              </w:rPr>
              <w:t>T. Zhao（赵铁松）</w:t>
            </w:r>
            <w:r>
              <w:rPr>
                <w:rFonts w:ascii="Times New Roman" w:hAnsi="Times New Roman" w:cs="Times New Roman"/>
                <w:sz w:val="20"/>
                <w:szCs w:val="20"/>
              </w:rPr>
              <w:t>;</w:t>
            </w:r>
            <w:r>
              <w:rPr>
                <w:rFonts w:hint="eastAsia" w:ascii="Times New Roman" w:hAnsi="Times New Roman" w:cs="Times New Roman"/>
                <w:sz w:val="20"/>
                <w:szCs w:val="20"/>
              </w:rPr>
              <w:t xml:space="preserve"> </w:t>
            </w:r>
            <w:r>
              <w:rPr>
                <w:rFonts w:ascii="Times New Roman" w:hAnsi="Times New Roman" w:cs="Times New Roman"/>
                <w:sz w:val="20"/>
                <w:szCs w:val="20"/>
              </w:rPr>
              <w:t>IEEE Transactions on Circuits System for Video Technology</w:t>
            </w:r>
            <w:r>
              <w:rPr>
                <w:rFonts w:hint="eastAsia" w:ascii="Times New Roman" w:hAnsi="Times New Roman" w:cs="Times New Roman"/>
                <w:sz w:val="20"/>
                <w:szCs w:val="20"/>
              </w:rPr>
              <w:t>;</w:t>
            </w:r>
            <w:r>
              <w:rPr>
                <w:rFonts w:ascii="Times New Roman" w:hAnsi="Times New Roman" w:cs="Times New Roman"/>
                <w:sz w:val="20"/>
                <w:szCs w:val="20"/>
              </w:rPr>
              <w:t xml:space="preserve"> vol. 21, no. 8, 2011;</w:t>
            </w:r>
            <w:r>
              <w:rPr>
                <w:rFonts w:hint="eastAsia" w:ascii="Times New Roman" w:hAnsi="Times New Roman" w:cs="Times New Roman"/>
                <w:sz w:val="20"/>
                <w:szCs w:val="20"/>
              </w:rPr>
              <w:t xml:space="preserve"> </w:t>
            </w:r>
            <w:r>
              <w:rPr>
                <w:rFonts w:ascii="Times New Roman" w:hAnsi="Times New Roman" w:cs="Times New Roman"/>
                <w:sz w:val="20"/>
                <w:szCs w:val="20"/>
              </w:rPr>
              <w:t>影响因子</w:t>
            </w:r>
            <w:r>
              <w:rPr>
                <w:rFonts w:ascii="Times New Roman" w:hAnsi="Times New Roman" w:cs="Times New Roman"/>
                <w:sz w:val="20"/>
                <w:szCs w:val="20"/>
                <w:u w:val="single"/>
              </w:rPr>
              <w:t>3.599</w:t>
            </w:r>
            <w:r>
              <w:rPr>
                <w:rFonts w:ascii="Times New Roman" w:hAnsi="Times New Roman" w:cs="Times New Roman"/>
                <w:sz w:val="20"/>
                <w:szCs w:val="20"/>
              </w:rPr>
              <w:t>;</w:t>
            </w:r>
            <w:r>
              <w:rPr>
                <w:rFonts w:hint="eastAsia" w:ascii="Times New Roman" w:hAnsi="Times New Roman" w:cs="Times New Roman"/>
                <w:sz w:val="20"/>
                <w:szCs w:val="20"/>
              </w:rPr>
              <w:t xml:space="preserve"> </w:t>
            </w:r>
            <w:r>
              <w:rPr>
                <w:rFonts w:ascii="Times New Roman" w:hAnsi="Times New Roman" w:cs="Times New Roman"/>
                <w:sz w:val="20"/>
                <w:szCs w:val="20"/>
              </w:rPr>
              <w:t>他引次数36</w:t>
            </w:r>
          </w:p>
          <w:p>
            <w:pPr>
              <w:ind w:left="300" w:hanging="300" w:hangingChars="150"/>
              <w:rPr>
                <w:rFonts w:ascii="Times New Roman" w:hAnsi="Times New Roman" w:cs="Times New Roman"/>
                <w:sz w:val="20"/>
                <w:szCs w:val="20"/>
              </w:rPr>
            </w:pPr>
            <w:r>
              <w:rPr>
                <w:rFonts w:hint="eastAsia" w:ascii="Times New Roman" w:hAnsi="Times New Roman" w:cs="Times New Roman"/>
                <w:sz w:val="20"/>
                <w:szCs w:val="20"/>
              </w:rPr>
              <w:t>[12]</w:t>
            </w:r>
            <w:r>
              <w:rPr>
                <w:rFonts w:ascii="Times New Roman" w:hAnsi="Times New Roman" w:cs="Times New Roman"/>
                <w:sz w:val="20"/>
                <w:szCs w:val="20"/>
              </w:rPr>
              <w:t>“</w:t>
            </w:r>
            <w:r>
              <w:fldChar w:fldCharType="begin"/>
            </w:r>
            <w:r>
              <w:instrText xml:space="preserve"> HYPERLINK "https://scholar.google.com/javascript:void(0)" </w:instrText>
            </w:r>
            <w:r>
              <w:fldChar w:fldCharType="separate"/>
            </w:r>
            <w:r>
              <w:rPr>
                <w:rFonts w:ascii="Times New Roman" w:hAnsi="Times New Roman" w:cs="Times New Roman"/>
                <w:sz w:val="20"/>
                <w:szCs w:val="20"/>
              </w:rPr>
              <w:t>CTU-Level Complexity Control for High Efficiency Video Coding</w:t>
            </w:r>
            <w:r>
              <w:rPr>
                <w:rFonts w:ascii="Times New Roman" w:hAnsi="Times New Roman" w:cs="Times New Roman"/>
                <w:sz w:val="20"/>
                <w:szCs w:val="20"/>
              </w:rPr>
              <w:fldChar w:fldCharType="end"/>
            </w:r>
            <w:r>
              <w:rPr>
                <w:rFonts w:ascii="Times New Roman" w:hAnsi="Times New Roman" w:cs="Times New Roman"/>
                <w:sz w:val="20"/>
                <w:szCs w:val="20"/>
              </w:rPr>
              <w:t>”;</w:t>
            </w:r>
            <w:r>
              <w:rPr>
                <w:rFonts w:hint="eastAsia" w:ascii="Times New Roman" w:hAnsi="Times New Roman" w:cs="Times New Roman"/>
                <w:sz w:val="20"/>
                <w:szCs w:val="20"/>
              </w:rPr>
              <w:t xml:space="preserve"> </w:t>
            </w:r>
            <w:r>
              <w:rPr>
                <w:rFonts w:ascii="Times New Roman" w:hAnsi="Times New Roman" w:cs="Times New Roman"/>
                <w:sz w:val="20"/>
                <w:szCs w:val="20"/>
              </w:rPr>
              <w:t>J.</w:t>
            </w:r>
            <w:r>
              <w:rPr>
                <w:rFonts w:hint="eastAsia" w:ascii="Times New Roman" w:hAnsi="Times New Roman" w:cs="Times New Roman"/>
                <w:sz w:val="20"/>
                <w:szCs w:val="20"/>
              </w:rPr>
              <w:t xml:space="preserve"> </w:t>
            </w:r>
            <w:r>
              <w:rPr>
                <w:rFonts w:ascii="Times New Roman" w:hAnsi="Times New Roman" w:cs="Times New Roman"/>
                <w:sz w:val="20"/>
                <w:szCs w:val="20"/>
              </w:rPr>
              <w:t>Zhang, S</w:t>
            </w:r>
            <w:r>
              <w:rPr>
                <w:rFonts w:hint="eastAsia" w:ascii="Times New Roman" w:hAnsi="Times New Roman" w:cs="Times New Roman"/>
                <w:sz w:val="20"/>
                <w:szCs w:val="20"/>
              </w:rPr>
              <w:t>.</w:t>
            </w:r>
            <w:r>
              <w:rPr>
                <w:rFonts w:ascii="Times New Roman" w:hAnsi="Times New Roman" w:cs="Times New Roman"/>
                <w:sz w:val="20"/>
                <w:szCs w:val="20"/>
              </w:rPr>
              <w:t xml:space="preserve"> Kwong, </w:t>
            </w:r>
            <w:r>
              <w:rPr>
                <w:rFonts w:ascii="Times New Roman" w:hAnsi="Times New Roman" w:cs="Times New Roman"/>
                <w:b/>
                <w:sz w:val="20"/>
                <w:szCs w:val="20"/>
              </w:rPr>
              <w:t>T</w:t>
            </w:r>
            <w:r>
              <w:rPr>
                <w:rFonts w:hint="eastAsia" w:ascii="Times New Roman" w:hAnsi="Times New Roman" w:cs="Times New Roman"/>
                <w:b/>
                <w:sz w:val="20"/>
                <w:szCs w:val="20"/>
              </w:rPr>
              <w:t>.</w:t>
            </w:r>
            <w:r>
              <w:rPr>
                <w:rFonts w:ascii="Times New Roman" w:hAnsi="Times New Roman" w:cs="Times New Roman"/>
                <w:b/>
                <w:sz w:val="20"/>
                <w:szCs w:val="20"/>
              </w:rPr>
              <w:t xml:space="preserve"> Zhao（赵铁松）</w:t>
            </w:r>
            <w:r>
              <w:rPr>
                <w:rFonts w:ascii="Times New Roman" w:hAnsi="Times New Roman" w:cs="Times New Roman"/>
                <w:sz w:val="20"/>
                <w:szCs w:val="20"/>
              </w:rPr>
              <w:t xml:space="preserve">, </w:t>
            </w:r>
            <w:r>
              <w:rPr>
                <w:rFonts w:hint="eastAsia" w:ascii="Times New Roman" w:hAnsi="Times New Roman" w:cs="Times New Roman"/>
                <w:sz w:val="20"/>
                <w:szCs w:val="20"/>
              </w:rPr>
              <w:t xml:space="preserve">and </w:t>
            </w:r>
            <w:r>
              <w:rPr>
                <w:rFonts w:ascii="Times New Roman" w:hAnsi="Times New Roman" w:cs="Times New Roman"/>
                <w:sz w:val="20"/>
                <w:szCs w:val="20"/>
              </w:rPr>
              <w:t>Z</w:t>
            </w:r>
            <w:r>
              <w:rPr>
                <w:rFonts w:hint="eastAsia" w:ascii="Times New Roman" w:hAnsi="Times New Roman" w:cs="Times New Roman"/>
                <w:sz w:val="20"/>
                <w:szCs w:val="20"/>
              </w:rPr>
              <w:t>.</w:t>
            </w:r>
            <w:r>
              <w:rPr>
                <w:rFonts w:ascii="Times New Roman" w:hAnsi="Times New Roman" w:cs="Times New Roman"/>
                <w:sz w:val="20"/>
                <w:szCs w:val="20"/>
              </w:rPr>
              <w:t xml:space="preserve"> Pan;</w:t>
            </w:r>
            <w:r>
              <w:rPr>
                <w:rFonts w:hint="eastAsia" w:ascii="Times New Roman" w:hAnsi="Times New Roman" w:cs="Times New Roman"/>
                <w:sz w:val="20"/>
                <w:szCs w:val="20"/>
              </w:rPr>
              <w:t xml:space="preserve"> </w:t>
            </w:r>
            <w:r>
              <w:rPr>
                <w:rFonts w:ascii="Times New Roman" w:hAnsi="Times New Roman" w:cs="Times New Roman"/>
                <w:sz w:val="20"/>
                <w:szCs w:val="20"/>
              </w:rPr>
              <w:t>IEEE Transactions on Multimedia;</w:t>
            </w:r>
            <w:r>
              <w:rPr>
                <w:rFonts w:hint="eastAsia" w:ascii="Times New Roman" w:hAnsi="Times New Roman" w:cs="Times New Roman"/>
                <w:sz w:val="20"/>
                <w:szCs w:val="20"/>
              </w:rPr>
              <w:t xml:space="preserve"> v</w:t>
            </w:r>
            <w:r>
              <w:rPr>
                <w:rFonts w:ascii="Times New Roman" w:hAnsi="Times New Roman" w:cs="Times New Roman"/>
                <w:sz w:val="20"/>
                <w:szCs w:val="20"/>
              </w:rPr>
              <w:t>ol.</w:t>
            </w:r>
            <w:r>
              <w:rPr>
                <w:rFonts w:hint="eastAsia" w:ascii="Times New Roman" w:hAnsi="Times New Roman" w:cs="Times New Roman"/>
                <w:sz w:val="20"/>
                <w:szCs w:val="20"/>
              </w:rPr>
              <w:t xml:space="preserve"> </w:t>
            </w:r>
            <w:r>
              <w:rPr>
                <w:rFonts w:ascii="Times New Roman" w:hAnsi="Times New Roman" w:cs="Times New Roman"/>
                <w:sz w:val="20"/>
                <w:szCs w:val="20"/>
              </w:rPr>
              <w:t>PP, </w:t>
            </w:r>
            <w:r>
              <w:fldChar w:fldCharType="begin"/>
            </w:r>
            <w:r>
              <w:instrText xml:space="preserve"> HYPERLINK "http://ieeexplore.ieee.org/xpl/tocresult.jsp?isnumber=4456689" </w:instrText>
            </w:r>
            <w:r>
              <w:fldChar w:fldCharType="separate"/>
            </w:r>
            <w:r>
              <w:rPr>
                <w:rFonts w:ascii="Times New Roman" w:hAnsi="Times New Roman" w:cs="Times New Roman"/>
                <w:sz w:val="20"/>
                <w:szCs w:val="20"/>
              </w:rPr>
              <w:t>no.99</w:t>
            </w:r>
            <w:r>
              <w:rPr>
                <w:rFonts w:ascii="Times New Roman" w:hAnsi="Times New Roman" w:cs="Times New Roman"/>
                <w:sz w:val="20"/>
                <w:szCs w:val="20"/>
              </w:rPr>
              <w:fldChar w:fldCharType="end"/>
            </w:r>
            <w:r>
              <w:rPr>
                <w:rFonts w:hint="eastAsia" w:ascii="Times New Roman" w:hAnsi="Times New Roman" w:cs="Times New Roman"/>
                <w:sz w:val="20"/>
                <w:szCs w:val="20"/>
              </w:rPr>
              <w:t xml:space="preserve">, 2017; </w:t>
            </w:r>
            <w:r>
              <w:rPr>
                <w:rFonts w:ascii="Times New Roman" w:hAnsi="Times New Roman" w:cs="Times New Roman"/>
                <w:sz w:val="20"/>
                <w:szCs w:val="20"/>
              </w:rPr>
              <w:t>影响因子</w:t>
            </w:r>
            <w:r>
              <w:rPr>
                <w:rFonts w:ascii="Times New Roman" w:hAnsi="Times New Roman" w:cs="Times New Roman"/>
                <w:sz w:val="20"/>
                <w:szCs w:val="20"/>
                <w:u w:val="single"/>
              </w:rPr>
              <w:t>3.509</w:t>
            </w:r>
            <w:r>
              <w:rPr>
                <w:rFonts w:ascii="Times New Roman" w:hAnsi="Times New Roman" w:cs="Times New Roman"/>
                <w:sz w:val="20"/>
                <w:szCs w:val="20"/>
              </w:rPr>
              <w:t>;</w:t>
            </w:r>
            <w:r>
              <w:rPr>
                <w:rFonts w:hint="eastAsia" w:ascii="Times New Roman" w:hAnsi="Times New Roman" w:cs="Times New Roman"/>
                <w:sz w:val="20"/>
                <w:szCs w:val="20"/>
              </w:rPr>
              <w:t xml:space="preserve"> </w:t>
            </w:r>
            <w:r>
              <w:rPr>
                <w:rFonts w:ascii="Times New Roman" w:hAnsi="Times New Roman" w:cs="Times New Roman"/>
                <w:sz w:val="20"/>
                <w:szCs w:val="20"/>
              </w:rPr>
              <w:t>他引次数0</w:t>
            </w:r>
          </w:p>
          <w:p>
            <w:pPr>
              <w:ind w:left="300" w:hanging="300" w:hangingChars="150"/>
              <w:rPr>
                <w:rFonts w:ascii="Times New Roman" w:hAnsi="Times New Roman" w:cs="Times New Roman"/>
                <w:sz w:val="20"/>
                <w:szCs w:val="20"/>
              </w:rPr>
            </w:pPr>
            <w:r>
              <w:rPr>
                <w:rFonts w:hint="eastAsia" w:ascii="Times New Roman" w:hAnsi="Times New Roman" w:cs="Times New Roman"/>
                <w:sz w:val="20"/>
                <w:szCs w:val="20"/>
              </w:rPr>
              <w:t>[13]</w:t>
            </w:r>
            <w:r>
              <w:rPr>
                <w:rFonts w:ascii="Times New Roman" w:hAnsi="Times New Roman" w:cs="Times New Roman"/>
                <w:sz w:val="20"/>
                <w:szCs w:val="20"/>
              </w:rPr>
              <w:t>“Predictive and Distribution Oriented Fast Motion Estimation for H.264/AVC” ;</w:t>
            </w:r>
            <w:r>
              <w:rPr>
                <w:rFonts w:hint="eastAsia" w:ascii="Times New Roman" w:hAnsi="Times New Roman" w:cs="Times New Roman"/>
                <w:sz w:val="20"/>
                <w:szCs w:val="20"/>
              </w:rPr>
              <w:t xml:space="preserve"> </w:t>
            </w:r>
            <w:r>
              <w:rPr>
                <w:rFonts w:ascii="Times New Roman" w:hAnsi="Times New Roman" w:cs="Times New Roman"/>
                <w:sz w:val="20"/>
                <w:szCs w:val="20"/>
              </w:rPr>
              <w:t xml:space="preserve">Z. Pan, S. Kwong, L. Xu, Y. Zhang and </w:t>
            </w:r>
            <w:r>
              <w:rPr>
                <w:rFonts w:ascii="Times New Roman" w:hAnsi="Times New Roman" w:cs="Times New Roman"/>
                <w:b/>
                <w:sz w:val="20"/>
                <w:szCs w:val="20"/>
              </w:rPr>
              <w:t>T. Zhao（赵铁松）</w:t>
            </w:r>
            <w:r>
              <w:rPr>
                <w:rFonts w:ascii="Times New Roman" w:hAnsi="Times New Roman" w:cs="Times New Roman"/>
                <w:sz w:val="20"/>
                <w:szCs w:val="20"/>
              </w:rPr>
              <w:t>; Journal of Real-Time Image Processing;</w:t>
            </w:r>
            <w:r>
              <w:rPr>
                <w:rFonts w:hint="eastAsia" w:ascii="Times New Roman" w:hAnsi="Times New Roman" w:cs="Times New Roman"/>
                <w:sz w:val="20"/>
                <w:szCs w:val="20"/>
              </w:rPr>
              <w:t xml:space="preserve"> </w:t>
            </w:r>
            <w:r>
              <w:rPr>
                <w:rFonts w:ascii="Times New Roman" w:hAnsi="Times New Roman" w:cs="Times New Roman"/>
                <w:sz w:val="20"/>
                <w:szCs w:val="20"/>
              </w:rPr>
              <w:t>vol. 9, no. 4,  2014;</w:t>
            </w:r>
            <w:r>
              <w:rPr>
                <w:rFonts w:hint="eastAsia" w:ascii="Times New Roman" w:hAnsi="Times New Roman" w:cs="Times New Roman"/>
                <w:sz w:val="20"/>
                <w:szCs w:val="20"/>
              </w:rPr>
              <w:t xml:space="preserve"> </w:t>
            </w:r>
            <w:r>
              <w:rPr>
                <w:rFonts w:ascii="Times New Roman" w:hAnsi="Times New Roman" w:cs="Times New Roman"/>
                <w:sz w:val="20"/>
                <w:szCs w:val="20"/>
              </w:rPr>
              <w:t xml:space="preserve">影响因子 </w:t>
            </w:r>
            <w:r>
              <w:rPr>
                <w:rFonts w:ascii="Times New Roman" w:hAnsi="Times New Roman" w:cs="Times New Roman"/>
                <w:sz w:val="20"/>
                <w:szCs w:val="20"/>
                <w:u w:val="single"/>
              </w:rPr>
              <w:t>2.010</w:t>
            </w:r>
            <w:r>
              <w:rPr>
                <w:rFonts w:ascii="Times New Roman" w:hAnsi="Times New Roman" w:cs="Times New Roman"/>
                <w:sz w:val="20"/>
                <w:szCs w:val="20"/>
              </w:rPr>
              <w:t>;</w:t>
            </w:r>
            <w:r>
              <w:rPr>
                <w:rFonts w:hint="eastAsia" w:ascii="Times New Roman" w:hAnsi="Times New Roman" w:cs="Times New Roman"/>
                <w:sz w:val="20"/>
                <w:szCs w:val="20"/>
              </w:rPr>
              <w:t xml:space="preserve"> </w:t>
            </w:r>
            <w:r>
              <w:rPr>
                <w:rFonts w:ascii="Times New Roman" w:hAnsi="Times New Roman" w:cs="Times New Roman"/>
                <w:sz w:val="20"/>
                <w:szCs w:val="20"/>
              </w:rPr>
              <w:t>他引次数5</w:t>
            </w:r>
          </w:p>
          <w:p>
            <w:pPr>
              <w:ind w:left="300" w:hanging="300" w:hangingChars="150"/>
              <w:rPr>
                <w:rFonts w:ascii="Times New Roman" w:hAnsi="Times New Roman" w:cs="Times New Roman"/>
                <w:sz w:val="20"/>
                <w:szCs w:val="20"/>
              </w:rPr>
            </w:pPr>
            <w:r>
              <w:rPr>
                <w:rFonts w:hint="eastAsia" w:ascii="Times New Roman" w:hAnsi="Times New Roman" w:cs="Times New Roman"/>
                <w:sz w:val="20"/>
                <w:szCs w:val="20"/>
              </w:rPr>
              <w:t xml:space="preserve">[14] </w:t>
            </w:r>
            <w:r>
              <w:rPr>
                <w:rFonts w:ascii="Times New Roman" w:hAnsi="Times New Roman" w:cs="Times New Roman"/>
                <w:sz w:val="20"/>
                <w:szCs w:val="20"/>
              </w:rPr>
              <w:t>“</w:t>
            </w:r>
            <w:r>
              <w:rPr>
                <w:rFonts w:hint="eastAsia" w:ascii="Times New Roman" w:hAnsi="Times New Roman" w:cs="Times New Roman"/>
                <w:sz w:val="20"/>
                <w:szCs w:val="20"/>
              </w:rPr>
              <w:t>Efficient Qp Cascading in H.265/HEVC Low-Delay Prediction,</w:t>
            </w:r>
            <w:r>
              <w:rPr>
                <w:rFonts w:ascii="Times New Roman" w:hAnsi="Times New Roman" w:cs="Times New Roman"/>
                <w:sz w:val="20"/>
                <w:szCs w:val="20"/>
              </w:rPr>
              <w:t>”</w:t>
            </w:r>
            <w:r>
              <w:rPr>
                <w:rFonts w:hint="eastAsia" w:ascii="Times New Roman" w:hAnsi="Times New Roman" w:cs="Times New Roman"/>
                <w:sz w:val="20"/>
                <w:szCs w:val="20"/>
              </w:rPr>
              <w:t xml:space="preserve">, Y. Xu, Q. Li, X. Li, J. Liu, and </w:t>
            </w:r>
            <w:r>
              <w:rPr>
                <w:rFonts w:ascii="Times New Roman" w:hAnsi="Times New Roman" w:cs="Times New Roman"/>
                <w:b/>
                <w:sz w:val="20"/>
                <w:szCs w:val="20"/>
              </w:rPr>
              <w:t>T. Zhao（赵铁松</w:t>
            </w:r>
            <w:r>
              <w:rPr>
                <w:rFonts w:hint="eastAsia" w:ascii="Times New Roman" w:hAnsi="Times New Roman" w:cs="Times New Roman"/>
                <w:b/>
                <w:sz w:val="20"/>
                <w:szCs w:val="20"/>
              </w:rPr>
              <w:t>/通信作者</w:t>
            </w:r>
            <w:r>
              <w:rPr>
                <w:rFonts w:ascii="Times New Roman" w:hAnsi="Times New Roman" w:cs="Times New Roman"/>
                <w:b/>
                <w:sz w:val="20"/>
                <w:szCs w:val="20"/>
              </w:rPr>
              <w:t>）</w:t>
            </w:r>
            <w:r>
              <w:rPr>
                <w:rFonts w:ascii="Times New Roman" w:hAnsi="Times New Roman" w:cs="Times New Roman"/>
                <w:sz w:val="20"/>
                <w:szCs w:val="20"/>
              </w:rPr>
              <w:t>;</w:t>
            </w:r>
            <w:r>
              <w:rPr>
                <w:rFonts w:hint="eastAsia" w:ascii="Times New Roman" w:hAnsi="Times New Roman" w:cs="Times New Roman"/>
                <w:sz w:val="20"/>
                <w:szCs w:val="20"/>
              </w:rPr>
              <w:t xml:space="preserve"> </w:t>
            </w:r>
            <w:r>
              <w:rPr>
                <w:rFonts w:ascii="Times New Roman" w:hAnsi="Times New Roman" w:cs="Times New Roman"/>
                <w:sz w:val="20"/>
                <w:szCs w:val="20"/>
              </w:rPr>
              <w:t>IEEE International Conference on Multimedia &amp; Expo</w:t>
            </w:r>
            <w:r>
              <w:rPr>
                <w:rFonts w:hint="eastAsia" w:ascii="Times New Roman" w:hAnsi="Times New Roman" w:cs="Times New Roman"/>
                <w:sz w:val="20"/>
                <w:szCs w:val="20"/>
              </w:rPr>
              <w:t xml:space="preserve"> Workshop</w:t>
            </w:r>
            <w:r>
              <w:rPr>
                <w:rFonts w:ascii="Times New Roman" w:hAnsi="Times New Roman" w:cs="Times New Roman"/>
                <w:sz w:val="20"/>
                <w:szCs w:val="20"/>
              </w:rPr>
              <w:t xml:space="preserve"> (ICME</w:t>
            </w:r>
            <w:r>
              <w:rPr>
                <w:rFonts w:hint="eastAsia" w:ascii="Times New Roman" w:hAnsi="Times New Roman" w:cs="Times New Roman"/>
                <w:sz w:val="20"/>
                <w:szCs w:val="20"/>
              </w:rPr>
              <w:t>W</w:t>
            </w:r>
            <w:r>
              <w:rPr>
                <w:rFonts w:ascii="Times New Roman" w:hAnsi="Times New Roman" w:cs="Times New Roman"/>
                <w:sz w:val="20"/>
                <w:szCs w:val="20"/>
              </w:rPr>
              <w:t xml:space="preserve">) </w:t>
            </w:r>
            <w:r>
              <w:rPr>
                <w:rFonts w:hint="eastAsia" w:ascii="Times New Roman" w:hAnsi="Times New Roman" w:cs="Times New Roman"/>
                <w:sz w:val="20"/>
                <w:szCs w:val="20"/>
              </w:rPr>
              <w:t xml:space="preserve">; 2017; </w:t>
            </w:r>
            <w:r>
              <w:rPr>
                <w:rFonts w:hint="eastAsia" w:ascii="Times New Roman" w:hAnsi="Times New Roman" w:cs="Times New Roman"/>
                <w:sz w:val="20"/>
                <w:szCs w:val="20"/>
                <w:u w:val="single"/>
              </w:rPr>
              <w:t>EI 会议</w:t>
            </w:r>
            <w:r>
              <w:rPr>
                <w:rFonts w:hint="eastAsia" w:ascii="Times New Roman" w:hAnsi="Times New Roman" w:cs="Times New Roman"/>
                <w:sz w:val="20"/>
                <w:szCs w:val="20"/>
              </w:rPr>
              <w:t>；他引次数0</w:t>
            </w:r>
          </w:p>
          <w:p>
            <w:pPr>
              <w:ind w:left="300" w:hanging="300" w:hangingChars="150"/>
              <w:rPr>
                <w:rFonts w:ascii="Times New Roman" w:hAnsi="Times New Roman" w:cs="Times New Roman"/>
                <w:sz w:val="20"/>
                <w:szCs w:val="20"/>
              </w:rPr>
            </w:pPr>
            <w:r>
              <w:rPr>
                <w:rFonts w:hint="eastAsia" w:ascii="Times New Roman" w:hAnsi="Times New Roman" w:cs="Times New Roman"/>
                <w:sz w:val="20"/>
                <w:szCs w:val="20"/>
              </w:rPr>
              <w:t xml:space="preserve">[15] </w:t>
            </w:r>
            <w:r>
              <w:rPr>
                <w:rFonts w:ascii="Times New Roman" w:hAnsi="Times New Roman" w:cs="Times New Roman"/>
                <w:sz w:val="20"/>
                <w:szCs w:val="20"/>
              </w:rPr>
              <w:t>“On SSIM-Bitrate Comparison of HEVC Encoders”;</w:t>
            </w:r>
            <w:r>
              <w:rPr>
                <w:rFonts w:ascii="Times New Roman" w:hAnsi="Times New Roman" w:cs="Times New Roman"/>
                <w:b/>
                <w:sz w:val="20"/>
                <w:szCs w:val="20"/>
              </w:rPr>
              <w:t xml:space="preserve"> T. Zhao（赵铁松）</w:t>
            </w:r>
            <w:r>
              <w:rPr>
                <w:rFonts w:ascii="Times New Roman" w:hAnsi="Times New Roman" w:cs="Times New Roman"/>
                <w:sz w:val="20"/>
                <w:szCs w:val="20"/>
              </w:rPr>
              <w:t>, Z. Wang, S. Kwong and C. W. Chen;</w:t>
            </w:r>
            <w:r>
              <w:rPr>
                <w:rFonts w:hint="eastAsia" w:ascii="Times New Roman" w:hAnsi="Times New Roman" w:cs="Times New Roman"/>
                <w:sz w:val="20"/>
                <w:szCs w:val="20"/>
              </w:rPr>
              <w:t xml:space="preserve"> </w:t>
            </w:r>
            <w:r>
              <w:rPr>
                <w:rFonts w:ascii="Times New Roman" w:hAnsi="Times New Roman" w:cs="Times New Roman"/>
                <w:sz w:val="20"/>
                <w:szCs w:val="20"/>
              </w:rPr>
              <w:t>APSIPA Annual Summit and Conference (APSIPA ASC); pp.246-251, Dec. 2015;</w:t>
            </w:r>
            <w:r>
              <w:rPr>
                <w:rFonts w:hint="eastAsia" w:ascii="Times New Roman" w:hAnsi="Times New Roman" w:cs="Times New Roman"/>
                <w:sz w:val="20"/>
                <w:szCs w:val="20"/>
              </w:rPr>
              <w:t xml:space="preserve"> </w:t>
            </w:r>
            <w:r>
              <w:rPr>
                <w:rFonts w:ascii="Times New Roman" w:hAnsi="Times New Roman" w:cs="Times New Roman"/>
                <w:sz w:val="20"/>
                <w:szCs w:val="20"/>
                <w:u w:val="single"/>
              </w:rPr>
              <w:t>EI会议</w:t>
            </w:r>
            <w:r>
              <w:rPr>
                <w:rFonts w:ascii="Times New Roman" w:hAnsi="Times New Roman" w:cs="Times New Roman"/>
                <w:sz w:val="20"/>
                <w:szCs w:val="20"/>
              </w:rPr>
              <w:t>;</w:t>
            </w:r>
            <w:r>
              <w:rPr>
                <w:rFonts w:hint="eastAsia" w:ascii="Times New Roman" w:hAnsi="Times New Roman" w:cs="Times New Roman"/>
                <w:sz w:val="20"/>
                <w:szCs w:val="20"/>
              </w:rPr>
              <w:t xml:space="preserve"> </w:t>
            </w:r>
            <w:r>
              <w:rPr>
                <w:rFonts w:ascii="Times New Roman" w:hAnsi="Times New Roman" w:cs="Times New Roman"/>
                <w:sz w:val="20"/>
                <w:szCs w:val="20"/>
              </w:rPr>
              <w:t>他引次数1</w:t>
            </w:r>
          </w:p>
          <w:p>
            <w:pPr>
              <w:ind w:left="300" w:hanging="300" w:hangingChars="150"/>
              <w:rPr>
                <w:rFonts w:ascii="Times New Roman" w:hAnsi="Times New Roman" w:cs="Times New Roman"/>
                <w:sz w:val="20"/>
                <w:szCs w:val="20"/>
              </w:rPr>
            </w:pPr>
            <w:r>
              <w:rPr>
                <w:rFonts w:hint="eastAsia" w:ascii="Times New Roman" w:hAnsi="Times New Roman" w:cs="Times New Roman"/>
                <w:sz w:val="20"/>
                <w:szCs w:val="20"/>
              </w:rPr>
              <w:t>[16]</w:t>
            </w:r>
            <w:r>
              <w:rPr>
                <w:rFonts w:ascii="Times New Roman" w:hAnsi="Times New Roman" w:cs="Times New Roman"/>
                <w:sz w:val="20"/>
                <w:szCs w:val="20"/>
              </w:rPr>
              <w:t xml:space="preserve">“On the Use of SSIM in HEVC” ; </w:t>
            </w:r>
            <w:r>
              <w:rPr>
                <w:rFonts w:ascii="Times New Roman" w:hAnsi="Times New Roman" w:cs="Times New Roman"/>
                <w:b/>
                <w:sz w:val="20"/>
                <w:szCs w:val="20"/>
              </w:rPr>
              <w:t>T. Zhao（赵铁松）</w:t>
            </w:r>
            <w:r>
              <w:rPr>
                <w:rFonts w:ascii="Times New Roman" w:hAnsi="Times New Roman" w:cs="Times New Roman"/>
                <w:sz w:val="20"/>
                <w:szCs w:val="20"/>
              </w:rPr>
              <w:t>, K. Zeng, A. Rehman and Z. Wang; IEEE Asilomar Conference on Signals, Systems and Computers</w:t>
            </w:r>
            <w:r>
              <w:rPr>
                <w:rFonts w:hint="eastAsia" w:ascii="Times New Roman" w:hAnsi="Times New Roman" w:cs="Times New Roman"/>
                <w:sz w:val="20"/>
                <w:szCs w:val="20"/>
              </w:rPr>
              <w:t xml:space="preserve">; </w:t>
            </w:r>
            <w:r>
              <w:rPr>
                <w:rFonts w:ascii="Times New Roman" w:hAnsi="Times New Roman" w:cs="Times New Roman"/>
                <w:sz w:val="20"/>
                <w:szCs w:val="20"/>
              </w:rPr>
              <w:t>pp. 1107-1111, Nov. 2013;</w:t>
            </w:r>
            <w:r>
              <w:rPr>
                <w:rFonts w:hint="eastAsia" w:ascii="Times New Roman" w:hAnsi="Times New Roman" w:cs="Times New Roman"/>
                <w:sz w:val="20"/>
                <w:szCs w:val="20"/>
              </w:rPr>
              <w:t xml:space="preserve"> </w:t>
            </w:r>
            <w:r>
              <w:rPr>
                <w:rFonts w:ascii="Times New Roman" w:hAnsi="Times New Roman" w:cs="Times New Roman"/>
                <w:sz w:val="20"/>
                <w:szCs w:val="20"/>
                <w:u w:val="single"/>
              </w:rPr>
              <w:t>EI会议</w:t>
            </w:r>
            <w:r>
              <w:rPr>
                <w:rFonts w:ascii="Times New Roman" w:hAnsi="Times New Roman" w:cs="Times New Roman"/>
                <w:sz w:val="20"/>
                <w:szCs w:val="20"/>
              </w:rPr>
              <w:t>;</w:t>
            </w:r>
            <w:r>
              <w:rPr>
                <w:rFonts w:hint="eastAsia" w:ascii="Times New Roman" w:hAnsi="Times New Roman" w:cs="Times New Roman"/>
                <w:sz w:val="20"/>
                <w:szCs w:val="20"/>
              </w:rPr>
              <w:t xml:space="preserve"> </w:t>
            </w:r>
            <w:r>
              <w:rPr>
                <w:rFonts w:ascii="Times New Roman" w:hAnsi="Times New Roman" w:cs="Times New Roman"/>
                <w:sz w:val="20"/>
                <w:szCs w:val="20"/>
              </w:rPr>
              <w:t>他引次数9</w:t>
            </w:r>
          </w:p>
          <w:p>
            <w:pPr>
              <w:ind w:left="300" w:hanging="300" w:hangingChars="150"/>
              <w:rPr>
                <w:rFonts w:ascii="Times New Roman" w:hAnsi="Times New Roman" w:cs="Times New Roman"/>
                <w:sz w:val="20"/>
                <w:szCs w:val="20"/>
              </w:rPr>
            </w:pPr>
            <w:r>
              <w:rPr>
                <w:rFonts w:hint="eastAsia" w:ascii="Times New Roman" w:hAnsi="Times New Roman" w:cs="Times New Roman"/>
                <w:sz w:val="20"/>
                <w:szCs w:val="20"/>
              </w:rPr>
              <w:t>[17]</w:t>
            </w:r>
            <w:r>
              <w:rPr>
                <w:rFonts w:ascii="Times New Roman" w:hAnsi="Times New Roman" w:cs="Times New Roman"/>
                <w:sz w:val="20"/>
                <w:szCs w:val="20"/>
              </w:rPr>
              <w:t>“Adaptive Rate-Distortion Prediction for Multiple Reference Selection and Inter-Mode Decision” ;</w:t>
            </w:r>
            <w:r>
              <w:rPr>
                <w:rFonts w:hint="eastAsia" w:ascii="Times New Roman" w:hAnsi="Times New Roman" w:cs="Times New Roman"/>
                <w:sz w:val="20"/>
                <w:szCs w:val="20"/>
              </w:rPr>
              <w:t xml:space="preserve"> </w:t>
            </w:r>
            <w:r>
              <w:rPr>
                <w:rFonts w:ascii="Times New Roman" w:hAnsi="Times New Roman" w:cs="Times New Roman"/>
                <w:b/>
                <w:sz w:val="20"/>
                <w:szCs w:val="20"/>
              </w:rPr>
              <w:t>T. Zhao（赵铁松）</w:t>
            </w:r>
            <w:r>
              <w:rPr>
                <w:rFonts w:ascii="Times New Roman" w:hAnsi="Times New Roman" w:cs="Times New Roman"/>
                <w:sz w:val="20"/>
                <w:szCs w:val="20"/>
              </w:rPr>
              <w:t>, Y. Zhang, S. Kwong, H. Wang and Q. Chen;</w:t>
            </w:r>
            <w:r>
              <w:rPr>
                <w:rFonts w:hint="eastAsia" w:ascii="Times New Roman" w:hAnsi="Times New Roman" w:cs="Times New Roman"/>
                <w:sz w:val="20"/>
                <w:szCs w:val="20"/>
              </w:rPr>
              <w:t xml:space="preserve"> </w:t>
            </w:r>
            <w:r>
              <w:rPr>
                <w:rFonts w:ascii="Times New Roman" w:hAnsi="Times New Roman" w:cs="Times New Roman"/>
                <w:sz w:val="20"/>
                <w:szCs w:val="20"/>
              </w:rPr>
              <w:t>Pacific-Rim Conference on Multimedia (PCM)</w:t>
            </w:r>
            <w:r>
              <w:rPr>
                <w:rFonts w:hint="eastAsia" w:ascii="Times New Roman" w:hAnsi="Times New Roman" w:cs="Times New Roman"/>
                <w:sz w:val="20"/>
                <w:szCs w:val="20"/>
              </w:rPr>
              <w:t>;</w:t>
            </w:r>
            <w:r>
              <w:rPr>
                <w:rFonts w:ascii="Times New Roman" w:hAnsi="Times New Roman" w:cs="Times New Roman"/>
                <w:sz w:val="20"/>
                <w:szCs w:val="20"/>
              </w:rPr>
              <w:t xml:space="preserve"> pp.484-491, Dec. 2012;</w:t>
            </w:r>
            <w:r>
              <w:rPr>
                <w:rFonts w:hint="eastAsia" w:ascii="Times New Roman" w:hAnsi="Times New Roman" w:cs="Times New Roman"/>
                <w:sz w:val="20"/>
                <w:szCs w:val="20"/>
              </w:rPr>
              <w:t xml:space="preserve"> </w:t>
            </w:r>
            <w:r>
              <w:rPr>
                <w:rFonts w:ascii="Times New Roman" w:hAnsi="Times New Roman" w:cs="Times New Roman"/>
                <w:sz w:val="20"/>
                <w:szCs w:val="20"/>
                <w:u w:val="single"/>
              </w:rPr>
              <w:t>EI会议</w:t>
            </w:r>
            <w:r>
              <w:rPr>
                <w:rFonts w:ascii="Times New Roman" w:hAnsi="Times New Roman" w:cs="Times New Roman"/>
                <w:sz w:val="20"/>
                <w:szCs w:val="20"/>
              </w:rPr>
              <w:t>;</w:t>
            </w:r>
            <w:r>
              <w:rPr>
                <w:rFonts w:hint="eastAsia" w:ascii="Times New Roman" w:hAnsi="Times New Roman" w:cs="Times New Roman"/>
                <w:sz w:val="20"/>
                <w:szCs w:val="20"/>
              </w:rPr>
              <w:t xml:space="preserve"> </w:t>
            </w:r>
            <w:r>
              <w:rPr>
                <w:rFonts w:ascii="Times New Roman" w:hAnsi="Times New Roman" w:cs="Times New Roman"/>
                <w:sz w:val="20"/>
                <w:szCs w:val="20"/>
              </w:rPr>
              <w:t>他引次数0</w:t>
            </w:r>
          </w:p>
          <w:p>
            <w:pPr>
              <w:ind w:left="300" w:hanging="300" w:hangingChars="150"/>
              <w:rPr>
                <w:rFonts w:ascii="Times New Roman" w:hAnsi="Times New Roman" w:cs="Times New Roman"/>
                <w:sz w:val="20"/>
                <w:szCs w:val="20"/>
              </w:rPr>
            </w:pPr>
            <w:r>
              <w:rPr>
                <w:rFonts w:hint="eastAsia" w:ascii="Times New Roman" w:hAnsi="Times New Roman" w:cs="Times New Roman"/>
                <w:sz w:val="20"/>
                <w:szCs w:val="20"/>
              </w:rPr>
              <w:t>[18]</w:t>
            </w:r>
            <w:r>
              <w:rPr>
                <w:rFonts w:ascii="Times New Roman" w:hAnsi="Times New Roman" w:cs="Times New Roman"/>
                <w:sz w:val="20"/>
                <w:szCs w:val="20"/>
              </w:rPr>
              <w:t>“Fast inter-layer mode decision in Scalable Video Coding” ;</w:t>
            </w:r>
            <w:r>
              <w:rPr>
                <w:rFonts w:hint="eastAsia" w:ascii="Times New Roman" w:hAnsi="Times New Roman" w:cs="Times New Roman"/>
                <w:sz w:val="20"/>
                <w:szCs w:val="20"/>
              </w:rPr>
              <w:t xml:space="preserve"> </w:t>
            </w:r>
            <w:r>
              <w:rPr>
                <w:rFonts w:ascii="Times New Roman" w:hAnsi="Times New Roman" w:cs="Times New Roman"/>
                <w:b/>
                <w:sz w:val="20"/>
                <w:szCs w:val="20"/>
              </w:rPr>
              <w:t>T. Zhao（赵铁松）</w:t>
            </w:r>
            <w:r>
              <w:rPr>
                <w:rFonts w:ascii="Times New Roman" w:hAnsi="Times New Roman" w:cs="Times New Roman"/>
                <w:sz w:val="20"/>
                <w:szCs w:val="20"/>
              </w:rPr>
              <w:t>, H. Wang and S. Kwong;</w:t>
            </w:r>
            <w:r>
              <w:rPr>
                <w:rFonts w:hint="eastAsia" w:ascii="Times New Roman" w:hAnsi="Times New Roman" w:cs="Times New Roman"/>
                <w:sz w:val="20"/>
                <w:szCs w:val="20"/>
              </w:rPr>
              <w:t xml:space="preserve"> </w:t>
            </w:r>
            <w:r>
              <w:rPr>
                <w:rFonts w:ascii="Times New Roman" w:hAnsi="Times New Roman" w:cs="Times New Roman"/>
                <w:sz w:val="20"/>
                <w:szCs w:val="20"/>
              </w:rPr>
              <w:t>IEEE International Conference on Image Processing (ICIP)</w:t>
            </w:r>
            <w:r>
              <w:rPr>
                <w:rFonts w:hint="eastAsia" w:ascii="Times New Roman" w:hAnsi="Times New Roman" w:cs="Times New Roman"/>
                <w:sz w:val="20"/>
                <w:szCs w:val="20"/>
              </w:rPr>
              <w:t>;</w:t>
            </w:r>
            <w:r>
              <w:rPr>
                <w:rFonts w:ascii="Times New Roman" w:hAnsi="Times New Roman" w:cs="Times New Roman"/>
                <w:sz w:val="20"/>
                <w:szCs w:val="20"/>
              </w:rPr>
              <w:t xml:space="preserve"> pp. 4221-4224, Sept. 2010;</w:t>
            </w:r>
            <w:r>
              <w:rPr>
                <w:rFonts w:hint="eastAsia" w:ascii="Times New Roman" w:hAnsi="Times New Roman" w:cs="Times New Roman"/>
                <w:sz w:val="20"/>
                <w:szCs w:val="20"/>
              </w:rPr>
              <w:t xml:space="preserve"> </w:t>
            </w:r>
            <w:r>
              <w:rPr>
                <w:rFonts w:ascii="Times New Roman" w:hAnsi="Times New Roman" w:cs="Times New Roman"/>
                <w:sz w:val="20"/>
                <w:szCs w:val="20"/>
                <w:u w:val="single"/>
              </w:rPr>
              <w:t>EI会议</w:t>
            </w:r>
            <w:r>
              <w:rPr>
                <w:rFonts w:ascii="Times New Roman" w:hAnsi="Times New Roman" w:cs="Times New Roman"/>
                <w:sz w:val="20"/>
                <w:szCs w:val="20"/>
              </w:rPr>
              <w:t>;</w:t>
            </w:r>
            <w:r>
              <w:rPr>
                <w:rFonts w:hint="eastAsia" w:ascii="Times New Roman" w:hAnsi="Times New Roman" w:cs="Times New Roman"/>
                <w:sz w:val="20"/>
                <w:szCs w:val="20"/>
              </w:rPr>
              <w:t xml:space="preserve"> </w:t>
            </w:r>
            <w:r>
              <w:rPr>
                <w:rFonts w:ascii="Times New Roman" w:hAnsi="Times New Roman" w:cs="Times New Roman"/>
                <w:sz w:val="20"/>
                <w:szCs w:val="20"/>
              </w:rPr>
              <w:t>他引次数4</w:t>
            </w:r>
          </w:p>
          <w:p>
            <w:pPr>
              <w:ind w:left="300" w:hanging="300" w:hangingChars="150"/>
              <w:rPr>
                <w:rFonts w:ascii="Times New Roman" w:hAnsi="Times New Roman" w:cs="Times New Roman"/>
                <w:sz w:val="20"/>
                <w:szCs w:val="20"/>
              </w:rPr>
            </w:pPr>
            <w:r>
              <w:rPr>
                <w:rFonts w:hint="eastAsia" w:ascii="Times New Roman" w:hAnsi="Times New Roman" w:cs="Times New Roman"/>
                <w:sz w:val="20"/>
                <w:szCs w:val="20"/>
              </w:rPr>
              <w:t>[19]</w:t>
            </w:r>
            <w:r>
              <w:rPr>
                <w:rFonts w:ascii="Times New Roman" w:hAnsi="Times New Roman" w:cs="Times New Roman"/>
                <w:sz w:val="20"/>
                <w:szCs w:val="20"/>
              </w:rPr>
              <w:t>“Probability-Based Coding Mode Prediction for H.264/AVC”;</w:t>
            </w:r>
            <w:r>
              <w:rPr>
                <w:rFonts w:hint="eastAsia" w:ascii="Times New Roman" w:hAnsi="Times New Roman" w:cs="Times New Roman"/>
                <w:sz w:val="20"/>
                <w:szCs w:val="20"/>
              </w:rPr>
              <w:t xml:space="preserve"> </w:t>
            </w:r>
            <w:r>
              <w:rPr>
                <w:rFonts w:ascii="Times New Roman" w:hAnsi="Times New Roman" w:cs="Times New Roman"/>
                <w:b/>
                <w:sz w:val="20"/>
                <w:szCs w:val="20"/>
              </w:rPr>
              <w:t>T. Zhao（赵铁松）</w:t>
            </w:r>
            <w:r>
              <w:rPr>
                <w:rFonts w:ascii="Times New Roman" w:hAnsi="Times New Roman" w:cs="Times New Roman"/>
                <w:sz w:val="20"/>
                <w:szCs w:val="20"/>
              </w:rPr>
              <w:t>, H. Wang, S. Kwong and S. Hu; IEEE International Conference on Image Processing (ICIP)</w:t>
            </w:r>
            <w:r>
              <w:rPr>
                <w:rFonts w:hint="eastAsia" w:ascii="Times New Roman" w:hAnsi="Times New Roman" w:cs="Times New Roman"/>
                <w:sz w:val="20"/>
                <w:szCs w:val="20"/>
              </w:rPr>
              <w:t>;</w:t>
            </w:r>
            <w:r>
              <w:rPr>
                <w:rFonts w:ascii="Times New Roman" w:hAnsi="Times New Roman" w:cs="Times New Roman"/>
                <w:sz w:val="20"/>
                <w:szCs w:val="20"/>
              </w:rPr>
              <w:t xml:space="preserve"> pp. 3389-3392, Sept. 2010; </w:t>
            </w:r>
            <w:r>
              <w:rPr>
                <w:rFonts w:ascii="Times New Roman" w:hAnsi="Times New Roman" w:cs="Times New Roman"/>
                <w:sz w:val="20"/>
                <w:szCs w:val="20"/>
                <w:u w:val="single"/>
              </w:rPr>
              <w:t>EI会议</w:t>
            </w:r>
            <w:r>
              <w:rPr>
                <w:rFonts w:ascii="Times New Roman" w:hAnsi="Times New Roman" w:cs="Times New Roman"/>
                <w:sz w:val="20"/>
                <w:szCs w:val="20"/>
              </w:rPr>
              <w:t>;他引次数5</w:t>
            </w:r>
          </w:p>
          <w:p>
            <w:pPr>
              <w:ind w:left="300" w:hanging="300" w:hangingChars="150"/>
              <w:rPr>
                <w:rFonts w:ascii="Times New Roman" w:hAnsi="Times New Roman" w:cs="Times New Roman"/>
                <w:sz w:val="20"/>
                <w:szCs w:val="20"/>
              </w:rPr>
            </w:pPr>
            <w:r>
              <w:rPr>
                <w:rFonts w:hint="eastAsia" w:ascii="Times New Roman" w:hAnsi="Times New Roman" w:cs="Times New Roman"/>
                <w:sz w:val="20"/>
                <w:szCs w:val="20"/>
              </w:rPr>
              <w:t>[20]</w:t>
            </w:r>
            <w:r>
              <w:rPr>
                <w:rFonts w:ascii="Times New Roman" w:hAnsi="Times New Roman" w:cs="Times New Roman"/>
                <w:sz w:val="20"/>
                <w:szCs w:val="20"/>
              </w:rPr>
              <w:t xml:space="preserve">“Two-Dimensional Map-Based Fast Mode Decision for H.264/AVC”; </w:t>
            </w:r>
            <w:r>
              <w:rPr>
                <w:rFonts w:ascii="Times New Roman" w:hAnsi="Times New Roman" w:cs="Times New Roman"/>
                <w:b/>
                <w:sz w:val="20"/>
                <w:szCs w:val="20"/>
              </w:rPr>
              <w:t>T. Zhao（赵铁松）</w:t>
            </w:r>
            <w:r>
              <w:rPr>
                <w:rFonts w:ascii="Times New Roman" w:hAnsi="Times New Roman" w:cs="Times New Roman"/>
                <w:sz w:val="20"/>
                <w:szCs w:val="20"/>
              </w:rPr>
              <w:t>, H. Wang, X. Ji, and S. Kwong; Pacific-Rim Conference on Multimedia (PCM); pp. 148-157, Dec. 2008;</w:t>
            </w:r>
            <w:r>
              <w:rPr>
                <w:rFonts w:hint="eastAsia" w:ascii="Times New Roman" w:hAnsi="Times New Roman" w:cs="Times New Roman"/>
                <w:sz w:val="20"/>
                <w:szCs w:val="20"/>
              </w:rPr>
              <w:t xml:space="preserve"> </w:t>
            </w:r>
            <w:r>
              <w:rPr>
                <w:rFonts w:ascii="Times New Roman" w:hAnsi="Times New Roman" w:cs="Times New Roman"/>
                <w:sz w:val="20"/>
                <w:szCs w:val="20"/>
                <w:u w:val="single"/>
              </w:rPr>
              <w:t>EI会议</w:t>
            </w:r>
            <w:r>
              <w:rPr>
                <w:rFonts w:ascii="Times New Roman" w:hAnsi="Times New Roman" w:cs="Times New Roman"/>
                <w:sz w:val="20"/>
                <w:szCs w:val="20"/>
              </w:rPr>
              <w:t>;</w:t>
            </w:r>
            <w:r>
              <w:rPr>
                <w:rFonts w:hint="eastAsia" w:ascii="Times New Roman" w:hAnsi="Times New Roman" w:cs="Times New Roman"/>
                <w:sz w:val="20"/>
                <w:szCs w:val="20"/>
              </w:rPr>
              <w:t xml:space="preserve"> </w:t>
            </w:r>
            <w:r>
              <w:rPr>
                <w:rFonts w:ascii="Times New Roman" w:hAnsi="Times New Roman" w:cs="Times New Roman"/>
                <w:sz w:val="20"/>
                <w:szCs w:val="20"/>
              </w:rPr>
              <w:t>他引次数0</w:t>
            </w:r>
          </w:p>
          <w:p>
            <w:pPr>
              <w:ind w:left="300" w:hanging="300" w:hangingChars="150"/>
              <w:rPr>
                <w:rFonts w:ascii="Times New Roman" w:hAnsi="Times New Roman" w:cs="Times New Roman"/>
                <w:sz w:val="20"/>
                <w:szCs w:val="20"/>
              </w:rPr>
            </w:pPr>
            <w:r>
              <w:rPr>
                <w:rFonts w:hint="eastAsia" w:ascii="Times New Roman" w:hAnsi="Times New Roman" w:cs="Times New Roman"/>
                <w:sz w:val="20"/>
                <w:szCs w:val="20"/>
              </w:rPr>
              <w:t>[21</w:t>
            </w:r>
            <w:r>
              <w:rPr>
                <w:rFonts w:ascii="Times New Roman" w:hAnsi="Times New Roman" w:cs="Times New Roman"/>
                <w:sz w:val="20"/>
                <w:szCs w:val="20"/>
              </w:rPr>
              <w:t>] “Characterizing Perceptual Artifacts in Compressed Video Streams” ;</w:t>
            </w:r>
            <w:r>
              <w:rPr>
                <w:rFonts w:hint="eastAsia" w:ascii="Times New Roman" w:hAnsi="Times New Roman" w:cs="Times New Roman"/>
                <w:sz w:val="20"/>
                <w:szCs w:val="20"/>
              </w:rPr>
              <w:t xml:space="preserve"> </w:t>
            </w:r>
            <w:r>
              <w:rPr>
                <w:rFonts w:ascii="Times New Roman" w:hAnsi="Times New Roman" w:cs="Times New Roman"/>
                <w:sz w:val="20"/>
                <w:szCs w:val="20"/>
              </w:rPr>
              <w:t xml:space="preserve">K. Zeng, </w:t>
            </w:r>
            <w:r>
              <w:rPr>
                <w:rFonts w:ascii="Times New Roman" w:hAnsi="Times New Roman" w:cs="Times New Roman"/>
                <w:b/>
                <w:sz w:val="20"/>
                <w:szCs w:val="20"/>
              </w:rPr>
              <w:t>T. Zhao（赵铁松）</w:t>
            </w:r>
            <w:r>
              <w:rPr>
                <w:rFonts w:ascii="Times New Roman" w:hAnsi="Times New Roman" w:cs="Times New Roman"/>
                <w:sz w:val="20"/>
                <w:szCs w:val="20"/>
              </w:rPr>
              <w:t>, A. Rehman and Z. Wang;</w:t>
            </w:r>
            <w:r>
              <w:rPr>
                <w:rFonts w:hint="eastAsia" w:ascii="Times New Roman" w:hAnsi="Times New Roman" w:cs="Times New Roman"/>
                <w:sz w:val="20"/>
                <w:szCs w:val="20"/>
              </w:rPr>
              <w:t xml:space="preserve"> </w:t>
            </w:r>
            <w:r>
              <w:rPr>
                <w:rFonts w:ascii="Times New Roman" w:hAnsi="Times New Roman" w:cs="Times New Roman"/>
                <w:sz w:val="20"/>
                <w:szCs w:val="20"/>
              </w:rPr>
              <w:t xml:space="preserve">Human Vision and Electronic Imaging Conference (HVEI) </w:t>
            </w:r>
            <w:r>
              <w:rPr>
                <w:rFonts w:hint="eastAsia" w:ascii="Times New Roman" w:hAnsi="Times New Roman" w:cs="Times New Roman"/>
                <w:sz w:val="20"/>
                <w:szCs w:val="20"/>
              </w:rPr>
              <w:t xml:space="preserve">; </w:t>
            </w:r>
            <w:r>
              <w:rPr>
                <w:rFonts w:ascii="Times New Roman" w:hAnsi="Times New Roman" w:cs="Times New Roman"/>
                <w:sz w:val="20"/>
                <w:szCs w:val="20"/>
              </w:rPr>
              <w:t>pp. 1-10, SPIE 9014</w:t>
            </w:r>
            <w:r>
              <w:rPr>
                <w:rFonts w:hint="eastAsia" w:ascii="Times New Roman" w:hAnsi="Times New Roman" w:cs="Times New Roman"/>
                <w:sz w:val="20"/>
                <w:szCs w:val="20"/>
              </w:rPr>
              <w:t xml:space="preserve">, </w:t>
            </w:r>
            <w:r>
              <w:rPr>
                <w:rFonts w:ascii="Times New Roman" w:hAnsi="Times New Roman" w:cs="Times New Roman"/>
                <w:sz w:val="20"/>
                <w:szCs w:val="20"/>
              </w:rPr>
              <w:t>Feb. 2014;</w:t>
            </w:r>
            <w:r>
              <w:rPr>
                <w:rFonts w:hint="eastAsia" w:ascii="Times New Roman" w:hAnsi="Times New Roman" w:cs="Times New Roman"/>
                <w:sz w:val="20"/>
                <w:szCs w:val="20"/>
              </w:rPr>
              <w:t xml:space="preserve"> </w:t>
            </w:r>
            <w:r>
              <w:rPr>
                <w:rFonts w:ascii="Times New Roman" w:hAnsi="Times New Roman" w:cs="Times New Roman"/>
                <w:sz w:val="20"/>
                <w:szCs w:val="20"/>
                <w:u w:val="single"/>
              </w:rPr>
              <w:t>EI会议</w:t>
            </w:r>
            <w:r>
              <w:rPr>
                <w:rFonts w:ascii="Times New Roman" w:hAnsi="Times New Roman" w:cs="Times New Roman"/>
                <w:sz w:val="20"/>
                <w:szCs w:val="20"/>
              </w:rPr>
              <w:t>;</w:t>
            </w:r>
            <w:r>
              <w:rPr>
                <w:rFonts w:hint="eastAsia" w:ascii="Times New Roman" w:hAnsi="Times New Roman" w:cs="Times New Roman"/>
                <w:sz w:val="20"/>
                <w:szCs w:val="20"/>
              </w:rPr>
              <w:t xml:space="preserve"> </w:t>
            </w:r>
            <w:r>
              <w:rPr>
                <w:rFonts w:ascii="Times New Roman" w:hAnsi="Times New Roman" w:cs="Times New Roman"/>
                <w:sz w:val="20"/>
                <w:szCs w:val="20"/>
              </w:rPr>
              <w:t>他引次数13</w:t>
            </w:r>
          </w:p>
          <w:p>
            <w:pPr>
              <w:ind w:left="300" w:hanging="300" w:hangingChars="150"/>
              <w:rPr>
                <w:rFonts w:ascii="Times New Roman" w:hAnsi="Times New Roman" w:cs="Times New Roman"/>
                <w:sz w:val="20"/>
                <w:szCs w:val="20"/>
              </w:rPr>
            </w:pPr>
            <w:r>
              <w:rPr>
                <w:rFonts w:hint="eastAsia" w:ascii="Times New Roman" w:hAnsi="Times New Roman" w:cs="Times New Roman"/>
                <w:sz w:val="20"/>
                <w:szCs w:val="20"/>
              </w:rPr>
              <w:t>[22]</w:t>
            </w:r>
            <w:r>
              <w:rPr>
                <w:rFonts w:ascii="Times New Roman" w:hAnsi="Times New Roman" w:cs="Times New Roman"/>
                <w:sz w:val="20"/>
                <w:szCs w:val="20"/>
              </w:rPr>
              <w:t>“Fast Mode Decision Based on Optimal Stopping Theory for Multiview Video Coding” ;</w:t>
            </w:r>
            <w:r>
              <w:rPr>
                <w:rFonts w:hint="eastAsia" w:ascii="Times New Roman" w:hAnsi="Times New Roman" w:cs="Times New Roman"/>
                <w:sz w:val="20"/>
                <w:szCs w:val="20"/>
              </w:rPr>
              <w:t xml:space="preserve"> </w:t>
            </w:r>
            <w:r>
              <w:rPr>
                <w:rFonts w:ascii="Times New Roman" w:hAnsi="Times New Roman" w:cs="Times New Roman"/>
                <w:sz w:val="20"/>
                <w:szCs w:val="20"/>
              </w:rPr>
              <w:t xml:space="preserve">H. Wang, Y. Heng, </w:t>
            </w:r>
            <w:r>
              <w:rPr>
                <w:rFonts w:ascii="Times New Roman" w:hAnsi="Times New Roman" w:cs="Times New Roman"/>
                <w:b/>
                <w:sz w:val="20"/>
                <w:szCs w:val="20"/>
              </w:rPr>
              <w:t>T. Zhao （赵铁松）</w:t>
            </w:r>
            <w:r>
              <w:rPr>
                <w:rFonts w:ascii="Times New Roman" w:hAnsi="Times New Roman" w:cs="Times New Roman"/>
                <w:sz w:val="20"/>
                <w:szCs w:val="20"/>
              </w:rPr>
              <w:t>and B. Xiao;</w:t>
            </w:r>
            <w:r>
              <w:rPr>
                <w:rFonts w:hint="eastAsia" w:ascii="Times New Roman" w:hAnsi="Times New Roman" w:cs="Times New Roman"/>
                <w:sz w:val="20"/>
                <w:szCs w:val="20"/>
              </w:rPr>
              <w:t xml:space="preserve"> </w:t>
            </w:r>
            <w:r>
              <w:rPr>
                <w:rFonts w:ascii="Times New Roman" w:hAnsi="Times New Roman" w:cs="Times New Roman"/>
                <w:sz w:val="20"/>
                <w:szCs w:val="20"/>
              </w:rPr>
              <w:t>Advances in Multimedia Modeling (MMM), Part II</w:t>
            </w:r>
            <w:r>
              <w:rPr>
                <w:rFonts w:hint="eastAsia" w:ascii="Times New Roman" w:hAnsi="Times New Roman" w:cs="Times New Roman"/>
                <w:sz w:val="20"/>
                <w:szCs w:val="20"/>
              </w:rPr>
              <w:t xml:space="preserve">; </w:t>
            </w:r>
            <w:r>
              <w:rPr>
                <w:rFonts w:ascii="Times New Roman" w:hAnsi="Times New Roman" w:cs="Times New Roman"/>
                <w:sz w:val="20"/>
                <w:szCs w:val="20"/>
              </w:rPr>
              <w:t xml:space="preserve"> pp. 176-186, Jan. 2013;</w:t>
            </w:r>
            <w:r>
              <w:rPr>
                <w:rFonts w:hint="eastAsia" w:ascii="Times New Roman" w:hAnsi="Times New Roman" w:cs="Times New Roman"/>
                <w:sz w:val="20"/>
                <w:szCs w:val="20"/>
              </w:rPr>
              <w:t xml:space="preserve"> </w:t>
            </w:r>
            <w:r>
              <w:rPr>
                <w:rFonts w:ascii="Times New Roman" w:hAnsi="Times New Roman" w:cs="Times New Roman"/>
                <w:sz w:val="20"/>
                <w:szCs w:val="20"/>
                <w:u w:val="single"/>
              </w:rPr>
              <w:t>EI会议</w:t>
            </w:r>
            <w:r>
              <w:rPr>
                <w:rFonts w:ascii="Times New Roman" w:hAnsi="Times New Roman" w:cs="Times New Roman"/>
                <w:sz w:val="20"/>
                <w:szCs w:val="20"/>
              </w:rPr>
              <w:t>;</w:t>
            </w:r>
            <w:r>
              <w:rPr>
                <w:rFonts w:hint="eastAsia" w:ascii="Times New Roman" w:hAnsi="Times New Roman" w:cs="Times New Roman"/>
                <w:sz w:val="20"/>
                <w:szCs w:val="20"/>
              </w:rPr>
              <w:t xml:space="preserve"> </w:t>
            </w:r>
            <w:r>
              <w:rPr>
                <w:rFonts w:ascii="Times New Roman" w:hAnsi="Times New Roman" w:cs="Times New Roman"/>
                <w:sz w:val="20"/>
                <w:szCs w:val="20"/>
              </w:rPr>
              <w:t>他引次数1</w:t>
            </w:r>
          </w:p>
          <w:p>
            <w:pPr>
              <w:ind w:left="300" w:hanging="300" w:hangingChars="150"/>
              <w:rPr>
                <w:rFonts w:ascii="Times New Roman" w:hAnsi="Times New Roman" w:cs="Times New Roman"/>
                <w:sz w:val="20"/>
                <w:szCs w:val="20"/>
              </w:rPr>
            </w:pPr>
            <w:r>
              <w:rPr>
                <w:rFonts w:hint="eastAsia" w:ascii="Times New Roman" w:hAnsi="Times New Roman" w:cs="Times New Roman"/>
                <w:sz w:val="20"/>
                <w:szCs w:val="20"/>
              </w:rPr>
              <w:t>[23]</w:t>
            </w:r>
            <w:r>
              <w:rPr>
                <w:rFonts w:ascii="Times New Roman" w:hAnsi="Times New Roman" w:cs="Times New Roman"/>
                <w:sz w:val="20"/>
                <w:szCs w:val="20"/>
              </w:rPr>
              <w:t>“Priority Pyramid Based Bit Allocation for Multiview Coding”;</w:t>
            </w:r>
            <w:r>
              <w:rPr>
                <w:rFonts w:hint="eastAsia" w:ascii="Times New Roman" w:hAnsi="Times New Roman" w:cs="Times New Roman"/>
                <w:sz w:val="20"/>
                <w:szCs w:val="20"/>
              </w:rPr>
              <w:t xml:space="preserve"> </w:t>
            </w:r>
            <w:r>
              <w:rPr>
                <w:rFonts w:ascii="Times New Roman" w:hAnsi="Times New Roman" w:cs="Times New Roman"/>
                <w:sz w:val="20"/>
                <w:szCs w:val="20"/>
              </w:rPr>
              <w:t xml:space="preserve">L. Xu, S. Kwong, </w:t>
            </w:r>
            <w:r>
              <w:rPr>
                <w:rFonts w:ascii="Times New Roman" w:hAnsi="Times New Roman" w:cs="Times New Roman"/>
                <w:b/>
                <w:sz w:val="20"/>
                <w:szCs w:val="20"/>
              </w:rPr>
              <w:t>T. Zhao （赵铁松）</w:t>
            </w:r>
            <w:r>
              <w:rPr>
                <w:rFonts w:ascii="Times New Roman" w:hAnsi="Times New Roman" w:cs="Times New Roman"/>
                <w:sz w:val="20"/>
                <w:szCs w:val="20"/>
              </w:rPr>
              <w:t>and Y. Zhou; IEEE Conference on Visual Communications and Image Processing (VCIP)</w:t>
            </w:r>
            <w:r>
              <w:rPr>
                <w:rFonts w:hint="eastAsia" w:ascii="Times New Roman" w:hAnsi="Times New Roman" w:cs="Times New Roman"/>
                <w:sz w:val="20"/>
                <w:szCs w:val="20"/>
              </w:rPr>
              <w:t>;</w:t>
            </w:r>
            <w:r>
              <w:rPr>
                <w:rFonts w:ascii="Times New Roman" w:hAnsi="Times New Roman" w:cs="Times New Roman"/>
                <w:sz w:val="20"/>
                <w:szCs w:val="20"/>
              </w:rPr>
              <w:t xml:space="preserve"> pp. 1-4, Nov. 2011;</w:t>
            </w:r>
            <w:r>
              <w:rPr>
                <w:rFonts w:hint="eastAsia" w:ascii="Times New Roman" w:hAnsi="Times New Roman" w:cs="Times New Roman"/>
                <w:sz w:val="20"/>
                <w:szCs w:val="20"/>
              </w:rPr>
              <w:t xml:space="preserve"> </w:t>
            </w:r>
            <w:r>
              <w:rPr>
                <w:rFonts w:ascii="Times New Roman" w:hAnsi="Times New Roman" w:cs="Times New Roman"/>
                <w:sz w:val="20"/>
                <w:szCs w:val="20"/>
                <w:u w:val="single"/>
              </w:rPr>
              <w:t>EI会议</w:t>
            </w:r>
            <w:r>
              <w:rPr>
                <w:rFonts w:ascii="Times New Roman" w:hAnsi="Times New Roman" w:cs="Times New Roman"/>
                <w:sz w:val="20"/>
                <w:szCs w:val="20"/>
              </w:rPr>
              <w:t>;</w:t>
            </w:r>
            <w:r>
              <w:rPr>
                <w:rFonts w:hint="eastAsia" w:ascii="Times New Roman" w:hAnsi="Times New Roman" w:cs="Times New Roman"/>
                <w:sz w:val="20"/>
                <w:szCs w:val="20"/>
              </w:rPr>
              <w:t xml:space="preserve"> </w:t>
            </w:r>
            <w:r>
              <w:rPr>
                <w:rFonts w:ascii="Times New Roman" w:hAnsi="Times New Roman" w:cs="Times New Roman"/>
                <w:sz w:val="20"/>
                <w:szCs w:val="20"/>
              </w:rPr>
              <w:t>他引次数5</w:t>
            </w:r>
          </w:p>
          <w:p>
            <w:pPr>
              <w:ind w:left="300" w:hanging="300" w:hangingChars="150"/>
              <w:rPr>
                <w:rFonts w:ascii="Times New Roman" w:hAnsi="Times New Roman" w:cs="Times New Roman"/>
                <w:sz w:val="20"/>
                <w:szCs w:val="20"/>
              </w:rPr>
            </w:pPr>
            <w:r>
              <w:rPr>
                <w:rFonts w:hint="eastAsia" w:ascii="Times New Roman" w:hAnsi="Times New Roman" w:cs="Times New Roman"/>
                <w:sz w:val="20"/>
                <w:szCs w:val="20"/>
              </w:rPr>
              <w:t>[24]</w:t>
            </w:r>
            <w:r>
              <w:rPr>
                <w:rFonts w:ascii="Times New Roman" w:hAnsi="Times New Roman" w:cs="Times New Roman"/>
                <w:sz w:val="20"/>
                <w:szCs w:val="20"/>
              </w:rPr>
              <w:t>“Fast Inter-mode Decision Based On Rate-Distortion Cost Characteristics” ;</w:t>
            </w:r>
            <w:r>
              <w:rPr>
                <w:rFonts w:hint="eastAsia" w:ascii="Times New Roman" w:hAnsi="Times New Roman" w:cs="Times New Roman"/>
                <w:sz w:val="20"/>
                <w:szCs w:val="20"/>
              </w:rPr>
              <w:t xml:space="preserve"> </w:t>
            </w:r>
            <w:r>
              <w:rPr>
                <w:rFonts w:ascii="Times New Roman" w:hAnsi="Times New Roman" w:cs="Times New Roman"/>
                <w:sz w:val="20"/>
                <w:szCs w:val="20"/>
              </w:rPr>
              <w:t xml:space="preserve">S. Hu, </w:t>
            </w:r>
            <w:r>
              <w:rPr>
                <w:rFonts w:ascii="Times New Roman" w:hAnsi="Times New Roman" w:cs="Times New Roman"/>
                <w:b/>
                <w:sz w:val="20"/>
                <w:szCs w:val="20"/>
              </w:rPr>
              <w:t>T. Zhao（赵铁松）</w:t>
            </w:r>
            <w:r>
              <w:rPr>
                <w:rFonts w:ascii="Times New Roman" w:hAnsi="Times New Roman" w:cs="Times New Roman"/>
                <w:sz w:val="20"/>
                <w:szCs w:val="20"/>
              </w:rPr>
              <w:t>, H. Wang and S. Kwong;</w:t>
            </w:r>
            <w:r>
              <w:rPr>
                <w:rFonts w:hint="eastAsia" w:ascii="Times New Roman" w:hAnsi="Times New Roman" w:cs="Times New Roman"/>
                <w:sz w:val="20"/>
                <w:szCs w:val="20"/>
              </w:rPr>
              <w:t xml:space="preserve"> </w:t>
            </w:r>
            <w:r>
              <w:rPr>
                <w:rFonts w:ascii="Times New Roman" w:hAnsi="Times New Roman" w:cs="Times New Roman"/>
                <w:sz w:val="20"/>
                <w:szCs w:val="20"/>
              </w:rPr>
              <w:t>Pacific-Rim Conference on Multimedia (PCM) 2010</w:t>
            </w:r>
            <w:r>
              <w:rPr>
                <w:rFonts w:hint="eastAsia" w:ascii="Times New Roman" w:hAnsi="Times New Roman" w:cs="Times New Roman"/>
                <w:sz w:val="20"/>
                <w:szCs w:val="20"/>
              </w:rPr>
              <w:t>;</w:t>
            </w:r>
            <w:r>
              <w:rPr>
                <w:rFonts w:ascii="Times New Roman" w:hAnsi="Times New Roman" w:cs="Times New Roman"/>
                <w:sz w:val="20"/>
                <w:szCs w:val="20"/>
              </w:rPr>
              <w:t xml:space="preserve"> pp. 145-155, Sept. 2010;</w:t>
            </w:r>
            <w:r>
              <w:rPr>
                <w:rFonts w:hint="eastAsia" w:ascii="Times New Roman" w:hAnsi="Times New Roman" w:cs="Times New Roman"/>
                <w:sz w:val="20"/>
                <w:szCs w:val="20"/>
              </w:rPr>
              <w:t xml:space="preserve"> </w:t>
            </w:r>
            <w:r>
              <w:rPr>
                <w:rFonts w:ascii="Times New Roman" w:hAnsi="Times New Roman" w:cs="Times New Roman"/>
                <w:sz w:val="20"/>
                <w:szCs w:val="20"/>
                <w:u w:val="single"/>
              </w:rPr>
              <w:t>EI会议</w:t>
            </w:r>
            <w:r>
              <w:rPr>
                <w:rFonts w:ascii="Times New Roman" w:hAnsi="Times New Roman" w:cs="Times New Roman"/>
                <w:sz w:val="20"/>
                <w:szCs w:val="20"/>
              </w:rPr>
              <w:t>;</w:t>
            </w:r>
            <w:r>
              <w:rPr>
                <w:rFonts w:hint="eastAsia" w:ascii="Times New Roman" w:hAnsi="Times New Roman" w:cs="Times New Roman"/>
                <w:sz w:val="20"/>
                <w:szCs w:val="20"/>
              </w:rPr>
              <w:t xml:space="preserve"> </w:t>
            </w:r>
            <w:r>
              <w:rPr>
                <w:rFonts w:ascii="Times New Roman" w:hAnsi="Times New Roman" w:cs="Times New Roman"/>
                <w:sz w:val="20"/>
                <w:szCs w:val="20"/>
              </w:rPr>
              <w:t>他引次数5</w:t>
            </w:r>
          </w:p>
          <w:p>
            <w:pPr>
              <w:ind w:left="300" w:hanging="300" w:hangingChars="150"/>
              <w:rPr>
                <w:rFonts w:ascii="Times New Roman" w:hAnsi="Times New Roman" w:cs="Times New Roman"/>
                <w:sz w:val="18"/>
                <w:szCs w:val="18"/>
              </w:rPr>
            </w:pPr>
            <w:r>
              <w:rPr>
                <w:rFonts w:hint="eastAsia" w:ascii="Times New Roman" w:hAnsi="Times New Roman" w:cs="Times New Roman"/>
                <w:sz w:val="20"/>
                <w:szCs w:val="20"/>
              </w:rPr>
              <w:t>[25]</w:t>
            </w:r>
            <w:r>
              <w:rPr>
                <w:rFonts w:ascii="Times New Roman" w:hAnsi="Times New Roman" w:cs="Times New Roman"/>
                <w:sz w:val="20"/>
                <w:szCs w:val="20"/>
              </w:rPr>
              <w:t>“Frame Level Rate Control for H.264/AVC with Novel Rate-Quantization Model” ;</w:t>
            </w:r>
            <w:r>
              <w:rPr>
                <w:rFonts w:hint="eastAsia" w:ascii="Times New Roman" w:hAnsi="Times New Roman" w:cs="Times New Roman"/>
                <w:sz w:val="20"/>
                <w:szCs w:val="20"/>
              </w:rPr>
              <w:t xml:space="preserve"> </w:t>
            </w:r>
            <w:r>
              <w:rPr>
                <w:rFonts w:ascii="Times New Roman" w:hAnsi="Times New Roman" w:cs="Times New Roman"/>
                <w:sz w:val="20"/>
                <w:szCs w:val="20"/>
              </w:rPr>
              <w:t xml:space="preserve">S. Hu, H. Wang, S. Kwong and </w:t>
            </w:r>
            <w:r>
              <w:rPr>
                <w:rFonts w:ascii="Times New Roman" w:hAnsi="Times New Roman" w:cs="Times New Roman"/>
                <w:b/>
                <w:sz w:val="20"/>
                <w:szCs w:val="20"/>
              </w:rPr>
              <w:t>T. Zhao（赵铁松）</w:t>
            </w:r>
            <w:r>
              <w:rPr>
                <w:rFonts w:ascii="Times New Roman" w:hAnsi="Times New Roman" w:cs="Times New Roman"/>
                <w:sz w:val="20"/>
                <w:szCs w:val="20"/>
              </w:rPr>
              <w:t>;</w:t>
            </w:r>
            <w:r>
              <w:rPr>
                <w:rFonts w:hint="eastAsia" w:ascii="Times New Roman" w:hAnsi="Times New Roman" w:cs="Times New Roman"/>
                <w:sz w:val="20"/>
                <w:szCs w:val="20"/>
              </w:rPr>
              <w:t xml:space="preserve"> </w:t>
            </w:r>
            <w:r>
              <w:rPr>
                <w:rFonts w:ascii="Times New Roman" w:hAnsi="Times New Roman" w:cs="Times New Roman"/>
                <w:sz w:val="20"/>
                <w:szCs w:val="20"/>
              </w:rPr>
              <w:t>IEEE International Conference on Multimedia &amp; Expo (ICME); pp. 226-231, Jul. 2010;</w:t>
            </w:r>
            <w:r>
              <w:rPr>
                <w:rFonts w:hint="eastAsia" w:ascii="Times New Roman" w:hAnsi="Times New Roman" w:cs="Times New Roman"/>
                <w:sz w:val="20"/>
                <w:szCs w:val="20"/>
              </w:rPr>
              <w:t xml:space="preserve"> </w:t>
            </w:r>
            <w:r>
              <w:rPr>
                <w:rFonts w:ascii="Times New Roman" w:hAnsi="Times New Roman" w:cs="Times New Roman"/>
                <w:sz w:val="20"/>
                <w:szCs w:val="20"/>
                <w:u w:val="single"/>
              </w:rPr>
              <w:t>EI会议</w:t>
            </w:r>
            <w:r>
              <w:rPr>
                <w:rFonts w:ascii="Times New Roman" w:hAnsi="Times New Roman" w:cs="Times New Roman"/>
                <w:sz w:val="20"/>
                <w:szCs w:val="20"/>
              </w:rPr>
              <w:t>;</w:t>
            </w:r>
            <w:r>
              <w:rPr>
                <w:rFonts w:hint="eastAsia" w:ascii="Times New Roman" w:hAnsi="Times New Roman" w:cs="Times New Roman"/>
                <w:sz w:val="20"/>
                <w:szCs w:val="20"/>
              </w:rPr>
              <w:t xml:space="preserve"> </w:t>
            </w:r>
            <w:r>
              <w:rPr>
                <w:rFonts w:ascii="Times New Roman" w:hAnsi="Times New Roman" w:cs="Times New Roman"/>
                <w:sz w:val="20"/>
                <w:szCs w:val="20"/>
              </w:rPr>
              <w:t>他引次数9</w:t>
            </w:r>
          </w:p>
        </w:tc>
      </w:tr>
    </w:tbl>
    <w:p>
      <w:pPr>
        <w:widowControl/>
        <w:spacing w:line="620" w:lineRule="exact"/>
        <w:ind w:right="105" w:rightChars="50"/>
        <w:rPr>
          <w:rFonts w:ascii="宋体" w:hAnsi="宋体" w:eastAsia="仿宋_GB2312" w:cs="宋体"/>
          <w:color w:val="000000"/>
          <w:kern w:val="0"/>
          <w:sz w:val="32"/>
          <w:szCs w:val="32"/>
        </w:rPr>
      </w:pPr>
    </w:p>
    <w:p>
      <w:pPr>
        <w:widowControl/>
        <w:spacing w:line="620" w:lineRule="exact"/>
        <w:ind w:right="105" w:rightChars="50"/>
        <w:rPr>
          <w:rFonts w:ascii="宋体" w:hAnsi="宋体" w:eastAsia="仿宋_GB2312"/>
          <w:color w:val="000000"/>
          <w:sz w:val="32"/>
          <w:szCs w:val="32"/>
        </w:rPr>
      </w:pPr>
    </w:p>
    <w:p>
      <w:pPr>
        <w:widowControl/>
        <w:spacing w:line="620" w:lineRule="exact"/>
        <w:ind w:right="105" w:rightChars="50"/>
        <w:rPr>
          <w:rFonts w:ascii="宋体" w:hAnsi="宋体" w:eastAsia="仿宋_GB2312"/>
          <w:color w:val="000000"/>
          <w:sz w:val="32"/>
          <w:szCs w:val="32"/>
        </w:rPr>
      </w:pPr>
    </w:p>
    <w:p>
      <w:pPr>
        <w:widowControl/>
        <w:spacing w:line="620" w:lineRule="exact"/>
        <w:ind w:right="105" w:rightChars="50"/>
        <w:rPr>
          <w:rFonts w:ascii="宋体" w:hAnsi="宋体" w:eastAsia="仿宋_GB2312"/>
          <w:color w:val="000000"/>
          <w:sz w:val="32"/>
          <w:szCs w:val="32"/>
        </w:rPr>
      </w:pPr>
    </w:p>
    <w:p>
      <w:pPr>
        <w:widowControl/>
        <w:spacing w:line="620" w:lineRule="exact"/>
        <w:ind w:right="105" w:rightChars="50"/>
        <w:rPr>
          <w:rFonts w:ascii="宋体" w:hAnsi="宋体" w:eastAsia="仿宋_GB2312"/>
          <w:color w:val="000000"/>
          <w:sz w:val="32"/>
          <w:szCs w:val="32"/>
        </w:rPr>
      </w:pPr>
    </w:p>
    <w:p>
      <w:pPr>
        <w:widowControl/>
        <w:spacing w:line="620" w:lineRule="exact"/>
        <w:ind w:right="105" w:rightChars="50"/>
        <w:rPr>
          <w:rFonts w:ascii="宋体" w:hAnsi="宋体" w:eastAsia="仿宋_GB2312"/>
          <w:color w:val="000000"/>
          <w:sz w:val="32"/>
          <w:szCs w:val="32"/>
        </w:rPr>
      </w:pPr>
    </w:p>
    <w:p>
      <w:pPr>
        <w:widowControl/>
        <w:spacing w:line="620" w:lineRule="exact"/>
        <w:ind w:right="105" w:rightChars="50"/>
        <w:rPr>
          <w:rFonts w:ascii="宋体" w:hAnsi="宋体" w:eastAsia="仿宋_GB2312"/>
          <w:color w:val="000000"/>
          <w:sz w:val="32"/>
          <w:szCs w:val="32"/>
        </w:rPr>
      </w:pPr>
    </w:p>
    <w:p>
      <w:pPr>
        <w:widowControl/>
        <w:spacing w:line="620" w:lineRule="exact"/>
        <w:ind w:right="105" w:rightChars="50"/>
        <w:rPr>
          <w:rFonts w:ascii="宋体" w:hAnsi="宋体" w:eastAsia="仿宋_GB2312"/>
          <w:color w:val="000000"/>
          <w:sz w:val="32"/>
          <w:szCs w:val="32"/>
        </w:rPr>
      </w:pPr>
    </w:p>
    <w:p>
      <w:pPr>
        <w:widowControl/>
        <w:spacing w:line="620" w:lineRule="exact"/>
        <w:ind w:right="105" w:rightChars="50"/>
        <w:rPr>
          <w:rFonts w:ascii="宋体" w:hAnsi="宋体" w:eastAsia="仿宋_GB2312"/>
          <w:color w:val="000000"/>
          <w:sz w:val="32"/>
          <w:szCs w:val="32"/>
        </w:rPr>
      </w:pPr>
    </w:p>
    <w:p>
      <w:pPr>
        <w:widowControl/>
        <w:spacing w:line="620" w:lineRule="exact"/>
        <w:ind w:right="105" w:rightChars="50"/>
        <w:rPr>
          <w:rFonts w:ascii="宋体" w:hAnsi="宋体" w:eastAsia="仿宋_GB2312"/>
          <w:color w:val="000000"/>
          <w:sz w:val="32"/>
          <w:szCs w:val="32"/>
        </w:rPr>
      </w:pPr>
    </w:p>
    <w:p>
      <w:pPr>
        <w:widowControl/>
        <w:spacing w:line="620" w:lineRule="exact"/>
        <w:ind w:right="105" w:rightChars="50"/>
        <w:rPr>
          <w:rFonts w:ascii="宋体" w:hAnsi="宋体" w:eastAsia="仿宋_GB2312"/>
          <w:color w:val="000000"/>
          <w:sz w:val="32"/>
          <w:szCs w:val="32"/>
        </w:rPr>
      </w:pPr>
    </w:p>
    <w:p>
      <w:pPr>
        <w:widowControl/>
        <w:spacing w:line="620" w:lineRule="exact"/>
        <w:ind w:right="105" w:rightChars="50"/>
        <w:rPr>
          <w:rFonts w:ascii="宋体" w:hAnsi="宋体" w:eastAsia="仿宋_GB2312"/>
          <w:color w:val="000000"/>
          <w:sz w:val="32"/>
          <w:szCs w:val="32"/>
        </w:rPr>
      </w:pPr>
      <w:r>
        <w:rPr>
          <w:rFonts w:ascii="宋体" w:hAnsi="宋体" w:eastAsia="仿宋_GB2312"/>
          <w:color w:val="000000"/>
          <w:sz w:val="32"/>
          <w:szCs w:val="32"/>
        </w:rPr>
        <w:t xml:space="preserve"> </w:t>
      </w:r>
    </w:p>
    <w:p>
      <w:pPr>
        <w:ind w:firstLine="645"/>
        <w:rPr>
          <w:rFonts w:ascii="宋体" w:hAnsi="宋体"/>
          <w:color w:val="000000"/>
        </w:rPr>
      </w:pPr>
    </w:p>
    <w:tbl>
      <w:tblPr>
        <w:tblStyle w:val="11"/>
        <w:tblW w:w="8789"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7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4" w:hRule="atLeast"/>
          <w:jc w:val="center"/>
        </w:trPr>
        <w:tc>
          <w:tcPr>
            <w:tcW w:w="8789" w:type="dxa"/>
            <w:tcBorders>
              <w:top w:val="single" w:color="auto" w:sz="12" w:space="0"/>
              <w:left w:val="single" w:color="FFFFFF" w:sz="12" w:space="0"/>
              <w:right w:val="single" w:color="FFFFFF" w:sz="12" w:space="0"/>
            </w:tcBorders>
          </w:tcPr>
          <w:p>
            <w:pPr>
              <w:spacing w:line="540" w:lineRule="exact"/>
              <w:rPr>
                <w:rFonts w:ascii="宋体" w:hAnsi="宋体" w:eastAsia="仿宋_GB2312"/>
                <w:color w:val="FF0000"/>
                <w:sz w:val="28"/>
                <w:szCs w:val="28"/>
              </w:rPr>
            </w:pPr>
            <w:r>
              <w:rPr>
                <w:rFonts w:hint="eastAsia" w:ascii="宋体" w:hAnsi="宋体" w:eastAsia="仿宋_GB2312"/>
                <w:sz w:val="28"/>
                <w:szCs w:val="28"/>
              </w:rPr>
              <w:t>抄送：省科协驻会领导，机关各部（室）、各直属单位。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4" w:hRule="atLeast"/>
          <w:jc w:val="center"/>
        </w:trPr>
        <w:tc>
          <w:tcPr>
            <w:tcW w:w="8789" w:type="dxa"/>
            <w:tcBorders>
              <w:left w:val="single" w:color="FFFFFF" w:sz="12" w:space="0"/>
              <w:bottom w:val="single" w:color="auto" w:sz="12" w:space="0"/>
              <w:right w:val="single" w:color="FFFFFF" w:sz="12" w:space="0"/>
            </w:tcBorders>
          </w:tcPr>
          <w:p>
            <w:pPr>
              <w:spacing w:line="540" w:lineRule="exact"/>
              <w:rPr>
                <w:rFonts w:ascii="宋体" w:hAnsi="宋体" w:eastAsia="仿宋_GB2312"/>
                <w:sz w:val="28"/>
                <w:szCs w:val="28"/>
              </w:rPr>
            </w:pPr>
            <w:r>
              <w:rPr>
                <w:rFonts w:hint="eastAsia" w:ascii="宋体" w:hAnsi="宋体" w:eastAsia="仿宋_GB2312"/>
                <w:sz w:val="28"/>
                <w:szCs w:val="28"/>
              </w:rPr>
              <w:t>福建省科学技术协会办公室                 2017年9月26日印发</w:t>
            </w:r>
          </w:p>
        </w:tc>
      </w:tr>
    </w:tbl>
    <w:p>
      <w:pPr>
        <w:rPr>
          <w:rFonts w:ascii="宋体" w:hAnsi="宋体"/>
        </w:rPr>
      </w:pPr>
    </w:p>
    <w:p/>
    <w:sectPr>
      <w:headerReference r:id="rId3" w:type="default"/>
      <w:footerReference r:id="rId4" w:type="default"/>
      <w:footerReference r:id="rId5" w:type="even"/>
      <w:pgSz w:w="11906" w:h="16838"/>
      <w:pgMar w:top="1418" w:right="1247" w:bottom="1418" w:left="1247" w:header="851" w:footer="992" w:gutter="0"/>
      <w:pgNumType w:fmt="numberInDash"/>
      <w:cols w:space="720"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Courier New">
    <w:panose1 w:val="02070309020205020404"/>
    <w:charset w:val="00"/>
    <w:family w:val="modern"/>
    <w:pitch w:val="default"/>
    <w:sig w:usb0="E0002AFF" w:usb1="C0007843" w:usb2="00000009" w:usb3="00000000" w:csb0="400001FF" w:csb1="FFFF0000"/>
  </w:font>
  <w:font w:name="仿宋_GB2312">
    <w:altName w:val="仿宋"/>
    <w:panose1 w:val="00000000000000000000"/>
    <w:charset w:val="86"/>
    <w:family w:val="modern"/>
    <w:pitch w:val="default"/>
    <w:sig w:usb0="00000000" w:usb1="00000000" w:usb2="00000010" w:usb3="00000000" w:csb0="00040000" w:csb1="00000000"/>
  </w:font>
  <w:font w:name="方正小标宋简体">
    <w:altName w:val="Arial Unicode MS"/>
    <w:panose1 w:val="00000000000000000000"/>
    <w:charset w:val="86"/>
    <w:family w:val="auto"/>
    <w:pitch w:val="default"/>
    <w:sig w:usb0="00000000" w:usb1="00000000" w:usb2="00000010" w:usb3="00000000" w:csb0="00040000" w:csb1="00000000"/>
  </w:font>
  <w:font w:name="华文仿宋">
    <w:panose1 w:val="02010600040101010101"/>
    <w:charset w:val="86"/>
    <w:family w:val="auto"/>
    <w:pitch w:val="default"/>
    <w:sig w:usb0="00000287" w:usb1="080F0000" w:usb2="00000000" w:usb3="00000000" w:csb0="0004009F" w:csb1="DFD70000"/>
  </w:font>
  <w:font w:name="Arial Unicode MS">
    <w:panose1 w:val="020B0604020202020204"/>
    <w:charset w:val="86"/>
    <w:family w:val="auto"/>
    <w:pitch w:val="default"/>
    <w:sig w:usb0="FFFFFFFF" w:usb1="E9FFFFFF" w:usb2="0000003F" w:usb3="00000000" w:csb0="603F01FF" w:csb1="FFFF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framePr w:wrap="around" w:vAnchor="text" w:hAnchor="margin" w:xAlign="outside" w:y="1"/>
      <w:rPr>
        <w:rStyle w:val="9"/>
        <w:rFonts w:ascii="宋体" w:hAnsi="宋体"/>
        <w:sz w:val="28"/>
        <w:szCs w:val="28"/>
      </w:rPr>
    </w:pPr>
    <w:r>
      <w:rPr>
        <w:rStyle w:val="9"/>
        <w:rFonts w:ascii="宋体" w:hAnsi="宋体"/>
        <w:sz w:val="28"/>
        <w:szCs w:val="28"/>
      </w:rPr>
      <w:fldChar w:fldCharType="begin"/>
    </w:r>
    <w:r>
      <w:rPr>
        <w:rStyle w:val="9"/>
        <w:rFonts w:ascii="宋体" w:hAnsi="宋体"/>
        <w:sz w:val="28"/>
        <w:szCs w:val="28"/>
      </w:rPr>
      <w:instrText xml:space="preserve">PAGE  </w:instrText>
    </w:r>
    <w:r>
      <w:rPr>
        <w:rStyle w:val="9"/>
        <w:rFonts w:ascii="宋体" w:hAnsi="宋体"/>
        <w:sz w:val="28"/>
        <w:szCs w:val="28"/>
      </w:rPr>
      <w:fldChar w:fldCharType="separate"/>
    </w:r>
    <w:r>
      <w:rPr>
        <w:rStyle w:val="9"/>
        <w:rFonts w:ascii="宋体" w:hAnsi="宋体"/>
        <w:sz w:val="28"/>
        <w:szCs w:val="28"/>
      </w:rPr>
      <w:t>- 4 -</w:t>
    </w:r>
    <w:r>
      <w:rPr>
        <w:rStyle w:val="9"/>
        <w:rFonts w:ascii="宋体" w:hAnsi="宋体"/>
        <w:sz w:val="28"/>
        <w:szCs w:val="28"/>
      </w:rPr>
      <w:fldChar w:fldCharType="end"/>
    </w:r>
  </w:p>
  <w:p>
    <w:pPr>
      <w:pStyle w:val="5"/>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framePr w:wrap="around" w:vAnchor="text" w:hAnchor="margin" w:xAlign="outside" w:y="1"/>
      <w:rPr>
        <w:rStyle w:val="9"/>
      </w:rPr>
    </w:pPr>
    <w:r>
      <w:rPr>
        <w:rStyle w:val="9"/>
      </w:rPr>
      <w:fldChar w:fldCharType="begin"/>
    </w:r>
    <w:r>
      <w:rPr>
        <w:rStyle w:val="9"/>
      </w:rPr>
      <w:instrText xml:space="preserve">PAGE  </w:instrText>
    </w:r>
    <w:r>
      <w:rPr>
        <w:rStyle w:val="9"/>
      </w:rPr>
      <w:fldChar w:fldCharType="end"/>
    </w:r>
  </w:p>
  <w:p>
    <w:pPr>
      <w:pStyle w:val="5"/>
      <w:ind w:right="360" w:firstLine="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attachedTemplate r:id="rId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44316"/>
    <w:rsid w:val="000071A1"/>
    <w:rsid w:val="0002192A"/>
    <w:rsid w:val="00172009"/>
    <w:rsid w:val="00177C52"/>
    <w:rsid w:val="00187F74"/>
    <w:rsid w:val="0019321D"/>
    <w:rsid w:val="001A328F"/>
    <w:rsid w:val="001C2A14"/>
    <w:rsid w:val="001D0BC6"/>
    <w:rsid w:val="001F150C"/>
    <w:rsid w:val="0020253D"/>
    <w:rsid w:val="00234DED"/>
    <w:rsid w:val="00236268"/>
    <w:rsid w:val="00244316"/>
    <w:rsid w:val="00262F3C"/>
    <w:rsid w:val="00294950"/>
    <w:rsid w:val="002E33B9"/>
    <w:rsid w:val="00372531"/>
    <w:rsid w:val="00385F2E"/>
    <w:rsid w:val="003B12A7"/>
    <w:rsid w:val="003F57E7"/>
    <w:rsid w:val="00410906"/>
    <w:rsid w:val="00457C7B"/>
    <w:rsid w:val="00505151"/>
    <w:rsid w:val="005055D8"/>
    <w:rsid w:val="00506242"/>
    <w:rsid w:val="00526DFA"/>
    <w:rsid w:val="005478BB"/>
    <w:rsid w:val="005868FB"/>
    <w:rsid w:val="005C0429"/>
    <w:rsid w:val="006526ED"/>
    <w:rsid w:val="006C43BD"/>
    <w:rsid w:val="007B2552"/>
    <w:rsid w:val="007B4625"/>
    <w:rsid w:val="007F6BDF"/>
    <w:rsid w:val="00811F65"/>
    <w:rsid w:val="008153A1"/>
    <w:rsid w:val="008461A2"/>
    <w:rsid w:val="00885AAF"/>
    <w:rsid w:val="008A3E1C"/>
    <w:rsid w:val="008D1268"/>
    <w:rsid w:val="008D1E81"/>
    <w:rsid w:val="0092068B"/>
    <w:rsid w:val="00974B4E"/>
    <w:rsid w:val="009C0FB9"/>
    <w:rsid w:val="00A10592"/>
    <w:rsid w:val="00A34BE2"/>
    <w:rsid w:val="00A64031"/>
    <w:rsid w:val="00AA48F1"/>
    <w:rsid w:val="00AB116B"/>
    <w:rsid w:val="00AC24CD"/>
    <w:rsid w:val="00B268B9"/>
    <w:rsid w:val="00B7566D"/>
    <w:rsid w:val="00B956C1"/>
    <w:rsid w:val="00BC04DF"/>
    <w:rsid w:val="00C24533"/>
    <w:rsid w:val="00C66D70"/>
    <w:rsid w:val="00C67426"/>
    <w:rsid w:val="00CB5C63"/>
    <w:rsid w:val="00CB7AF1"/>
    <w:rsid w:val="00D173AF"/>
    <w:rsid w:val="00D432DE"/>
    <w:rsid w:val="00D74A67"/>
    <w:rsid w:val="00D85F23"/>
    <w:rsid w:val="00DC0D7F"/>
    <w:rsid w:val="00E371B7"/>
    <w:rsid w:val="00E46FF9"/>
    <w:rsid w:val="00E51AB2"/>
    <w:rsid w:val="00ED3523"/>
    <w:rsid w:val="00F04240"/>
    <w:rsid w:val="00FA6798"/>
    <w:rsid w:val="045211C7"/>
    <w:rsid w:val="0B9E30C9"/>
    <w:rsid w:val="13C46BBB"/>
    <w:rsid w:val="14610DF4"/>
    <w:rsid w:val="1C967550"/>
    <w:rsid w:val="26F0459B"/>
    <w:rsid w:val="2D285A61"/>
    <w:rsid w:val="377507C1"/>
    <w:rsid w:val="43565EEC"/>
    <w:rsid w:val="455D378C"/>
    <w:rsid w:val="46D40735"/>
    <w:rsid w:val="5AEF60DF"/>
    <w:rsid w:val="5CBE517B"/>
    <w:rsid w:val="698F7C8D"/>
    <w:rsid w:val="6FFE0B7E"/>
    <w:rsid w:val="72175EAC"/>
    <w:rsid w:val="75D9015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nhideWhenUsed="0" w:uiPriority="0" w:semiHidden="0"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nhideWhenUsed="0" w:uiPriority="0"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9"/>
    <w:qFormat/>
    <w:uiPriority w:val="9"/>
    <w:pPr>
      <w:widowControl/>
      <w:spacing w:before="100" w:beforeAutospacing="1" w:after="100" w:afterAutospacing="1"/>
      <w:jc w:val="left"/>
      <w:outlineLvl w:val="0"/>
    </w:pPr>
    <w:rPr>
      <w:rFonts w:ascii="Times New Roman" w:hAnsi="Times New Roman" w:eastAsia="Times New Roman" w:cs="Times New Roman"/>
      <w:b/>
      <w:bCs/>
      <w:kern w:val="36"/>
      <w:sz w:val="48"/>
      <w:szCs w:val="48"/>
    </w:rPr>
  </w:style>
  <w:style w:type="character" w:default="1" w:styleId="8">
    <w:name w:val="Default Paragraph Font"/>
    <w:unhideWhenUsed/>
    <w:uiPriority w:val="1"/>
  </w:style>
  <w:style w:type="table" w:default="1" w:styleId="11">
    <w:name w:val="Normal Table"/>
    <w:unhideWhenUsed/>
    <w:qFormat/>
    <w:uiPriority w:val="99"/>
    <w:tblPr>
      <w:tblLayout w:type="fixed"/>
      <w:tblCellMar>
        <w:top w:w="0" w:type="dxa"/>
        <w:left w:w="108" w:type="dxa"/>
        <w:bottom w:w="0" w:type="dxa"/>
        <w:right w:w="108" w:type="dxa"/>
      </w:tblCellMar>
    </w:tblPr>
  </w:style>
  <w:style w:type="paragraph" w:styleId="3">
    <w:name w:val="Plain Text"/>
    <w:basedOn w:val="1"/>
    <w:link w:val="12"/>
    <w:uiPriority w:val="0"/>
    <w:rPr>
      <w:rFonts w:ascii="宋体" w:hAnsi="Courier New" w:eastAsia="宋体" w:cs="Courier New"/>
      <w:szCs w:val="21"/>
    </w:rPr>
  </w:style>
  <w:style w:type="paragraph" w:styleId="4">
    <w:name w:val="Balloon Text"/>
    <w:basedOn w:val="1"/>
    <w:link w:val="17"/>
    <w:unhideWhenUsed/>
    <w:qFormat/>
    <w:uiPriority w:val="99"/>
    <w:rPr>
      <w:rFonts w:ascii="宋体" w:eastAsia="宋体"/>
      <w:sz w:val="18"/>
      <w:szCs w:val="18"/>
    </w:rPr>
  </w:style>
  <w:style w:type="paragraph" w:styleId="5">
    <w:name w:val="footer"/>
    <w:basedOn w:val="1"/>
    <w:link w:val="14"/>
    <w:qFormat/>
    <w:uiPriority w:val="0"/>
    <w:pPr>
      <w:tabs>
        <w:tab w:val="center" w:pos="4153"/>
        <w:tab w:val="right" w:pos="8306"/>
      </w:tabs>
      <w:snapToGrid w:val="0"/>
      <w:jc w:val="left"/>
    </w:pPr>
    <w:rPr>
      <w:rFonts w:ascii="Times New Roman" w:hAnsi="Times New Roman" w:eastAsia="宋体" w:cs="Times New Roman"/>
      <w:sz w:val="18"/>
      <w:szCs w:val="18"/>
    </w:rPr>
  </w:style>
  <w:style w:type="paragraph" w:styleId="6">
    <w:name w:val="header"/>
    <w:basedOn w:val="1"/>
    <w:link w:val="13"/>
    <w:uiPriority w:val="0"/>
    <w:pPr>
      <w:pBdr>
        <w:bottom w:val="single" w:color="auto" w:sz="6" w:space="1"/>
      </w:pBdr>
      <w:tabs>
        <w:tab w:val="center" w:pos="4153"/>
        <w:tab w:val="right" w:pos="8306"/>
      </w:tabs>
      <w:snapToGrid w:val="0"/>
      <w:jc w:val="center"/>
    </w:pPr>
    <w:rPr>
      <w:rFonts w:ascii="Times New Roman" w:hAnsi="Times New Roman" w:eastAsia="宋体" w:cs="Times New Roman"/>
      <w:sz w:val="18"/>
      <w:szCs w:val="18"/>
    </w:rPr>
  </w:style>
  <w:style w:type="paragraph" w:styleId="7">
    <w:name w:val="Normal (Web)"/>
    <w:basedOn w:val="1"/>
    <w:qFormat/>
    <w:uiPriority w:val="0"/>
    <w:pPr>
      <w:widowControl/>
      <w:spacing w:before="100" w:beforeAutospacing="1" w:after="100" w:afterAutospacing="1"/>
      <w:jc w:val="left"/>
    </w:pPr>
    <w:rPr>
      <w:rFonts w:ascii="宋体" w:hAnsi="宋体" w:eastAsia="宋体" w:cs="宋体"/>
      <w:kern w:val="0"/>
      <w:sz w:val="24"/>
      <w:szCs w:val="24"/>
    </w:rPr>
  </w:style>
  <w:style w:type="character" w:styleId="9">
    <w:name w:val="page number"/>
    <w:basedOn w:val="8"/>
    <w:qFormat/>
    <w:uiPriority w:val="0"/>
  </w:style>
  <w:style w:type="character" w:styleId="10">
    <w:name w:val="Hyperlink"/>
    <w:basedOn w:val="8"/>
    <w:unhideWhenUsed/>
    <w:qFormat/>
    <w:uiPriority w:val="99"/>
    <w:rPr>
      <w:color w:val="0000FF"/>
      <w:u w:val="single"/>
    </w:rPr>
  </w:style>
  <w:style w:type="character" w:customStyle="1" w:styleId="12">
    <w:name w:val="纯文本 Char"/>
    <w:basedOn w:val="8"/>
    <w:link w:val="3"/>
    <w:uiPriority w:val="0"/>
    <w:rPr>
      <w:rFonts w:ascii="宋体" w:hAnsi="Courier New" w:eastAsia="宋体" w:cs="Courier New"/>
      <w:szCs w:val="21"/>
    </w:rPr>
  </w:style>
  <w:style w:type="character" w:customStyle="1" w:styleId="13">
    <w:name w:val="页眉 Char"/>
    <w:basedOn w:val="8"/>
    <w:link w:val="6"/>
    <w:uiPriority w:val="0"/>
    <w:rPr>
      <w:rFonts w:ascii="Times New Roman" w:hAnsi="Times New Roman" w:eastAsia="宋体" w:cs="Times New Roman"/>
      <w:sz w:val="18"/>
      <w:szCs w:val="18"/>
    </w:rPr>
  </w:style>
  <w:style w:type="character" w:customStyle="1" w:styleId="14">
    <w:name w:val="页脚 Char"/>
    <w:basedOn w:val="8"/>
    <w:link w:val="5"/>
    <w:qFormat/>
    <w:uiPriority w:val="0"/>
    <w:rPr>
      <w:rFonts w:ascii="Times New Roman" w:hAnsi="Times New Roman" w:eastAsia="宋体" w:cs="Times New Roman"/>
      <w:sz w:val="18"/>
      <w:szCs w:val="18"/>
    </w:rPr>
  </w:style>
  <w:style w:type="character" w:customStyle="1" w:styleId="15">
    <w:name w:val="纯文本 Char1"/>
    <w:basedOn w:val="8"/>
    <w:semiHidden/>
    <w:qFormat/>
    <w:uiPriority w:val="99"/>
    <w:rPr>
      <w:rFonts w:ascii="宋体" w:hAnsi="Courier New" w:eastAsia="宋体" w:cs="Courier New"/>
      <w:szCs w:val="21"/>
    </w:rPr>
  </w:style>
  <w:style w:type="paragraph" w:customStyle="1" w:styleId="16">
    <w:name w:val="本案正文"/>
    <w:basedOn w:val="1"/>
    <w:qFormat/>
    <w:uiPriority w:val="99"/>
    <w:pPr>
      <w:spacing w:line="320" w:lineRule="exact"/>
      <w:ind w:firstLine="200" w:firstLineChars="200"/>
    </w:pPr>
    <w:rPr>
      <w:rFonts w:ascii="仿宋_GB2312" w:hAnsi="Calibri" w:eastAsia="宋体" w:cs="仿宋_GB2312"/>
      <w:sz w:val="24"/>
      <w:szCs w:val="24"/>
    </w:rPr>
  </w:style>
  <w:style w:type="character" w:customStyle="1" w:styleId="17">
    <w:name w:val="批注框文本 Char"/>
    <w:basedOn w:val="8"/>
    <w:link w:val="4"/>
    <w:semiHidden/>
    <w:uiPriority w:val="99"/>
    <w:rPr>
      <w:rFonts w:ascii="宋体" w:eastAsia="宋体"/>
      <w:sz w:val="18"/>
      <w:szCs w:val="18"/>
    </w:rPr>
  </w:style>
  <w:style w:type="paragraph" w:customStyle="1" w:styleId="18">
    <w:name w:val="Default"/>
    <w:qFormat/>
    <w:uiPriority w:val="0"/>
    <w:pPr>
      <w:autoSpaceDE w:val="0"/>
      <w:autoSpaceDN w:val="0"/>
      <w:adjustRightInd w:val="0"/>
    </w:pPr>
    <w:rPr>
      <w:rFonts w:ascii="宋体" w:hAnsi="宋体" w:cs="宋体" w:eastAsiaTheme="minorEastAsia"/>
      <w:color w:val="000000"/>
      <w:kern w:val="0"/>
      <w:sz w:val="24"/>
      <w:szCs w:val="24"/>
      <w:lang w:val="en-US" w:eastAsia="zh-CN" w:bidi="ar-SA"/>
    </w:rPr>
  </w:style>
  <w:style w:type="character" w:customStyle="1" w:styleId="19">
    <w:name w:val="标题 1 Char"/>
    <w:basedOn w:val="8"/>
    <w:link w:val="2"/>
    <w:uiPriority w:val="9"/>
    <w:rPr>
      <w:rFonts w:ascii="Times New Roman" w:hAnsi="Times New Roman" w:eastAsia="Times New Roman" w:cs="Times New Roman"/>
      <w:b/>
      <w:bCs/>
      <w:kern w:val="36"/>
      <w:sz w:val="48"/>
      <w:szCs w:val="48"/>
    </w:rPr>
  </w:style>
  <w:style w:type="character" w:customStyle="1" w:styleId="20">
    <w:name w:val="ng-binding"/>
    <w:basedOn w:val="8"/>
    <w:qFormat/>
    <w:uiPriority w:val="0"/>
  </w:style>
  <w:style w:type="character" w:customStyle="1" w:styleId="21">
    <w:name w:val="ng-scope"/>
    <w:basedOn w:val="8"/>
    <w:uiPriority w:val="0"/>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AppData\Roaming\Microsoft\Templates\&#38397;&#31185;&#21327;&#21457;[2017].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F746A04-FF5E-4C8F-9C28-D014B39F0200}">
  <ds:schemaRefs/>
</ds:datastoreItem>
</file>

<file path=docProps/app.xml><?xml version="1.0" encoding="utf-8"?>
<Properties xmlns="http://schemas.openxmlformats.org/officeDocument/2006/extended-properties" xmlns:vt="http://schemas.openxmlformats.org/officeDocument/2006/docPropsVTypes">
  <Template>闽科协发[2017]</Template>
  <Pages>9</Pages>
  <Words>1554</Words>
  <Characters>8863</Characters>
  <Lines>73</Lines>
  <Paragraphs>20</Paragraphs>
  <ScaleCrop>false</ScaleCrop>
  <LinksUpToDate>false</LinksUpToDate>
  <CharactersWithSpaces>10397</CharactersWithSpaces>
  <Application>WPS Office_10.1.0.6930_F1E327BC-269C-435d-A152-05C5408002CA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2017-10-10T03:12:00Z</dcterms:created>
  <dc:creator>admin</dc:creator>
  <cp:lastModifiedBy>Administrator</cp:lastModifiedBy>
  <cp:lastPrinted>2017-11-06T02:51:00Z</cp:lastPrinted>
  <dcterms:modified xsi:type="dcterms:W3CDTF">2017-12-04T02:58:25Z</dcterms:modified>
  <cp:revision>89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2052-10.1.0.6930</vt:lpwstr>
  </property>
</Properties>
</file>