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宋体" w:hAnsi="宋体" w:eastAsia="黑体"/>
          <w:sz w:val="30"/>
          <w:szCs w:val="30"/>
        </w:rPr>
      </w:pPr>
      <w:r>
        <w:rPr>
          <w:rFonts w:hint="eastAsia" w:ascii="宋体" w:hAnsi="宋体" w:eastAsia="黑体"/>
          <w:sz w:val="30"/>
          <w:szCs w:val="30"/>
          <w:lang w:eastAsia="zh-CN"/>
        </w:rPr>
        <w:t>卢春华同志基本信息、主要成果贡献等情况公示</w:t>
      </w:r>
    </w:p>
    <w:p>
      <w:pPr>
        <w:widowControl/>
        <w:jc w:val="left"/>
        <w:rPr>
          <w:rFonts w:ascii="宋体" w:hAnsi="宋体"/>
        </w:rPr>
      </w:pPr>
      <w:r>
        <w:rPr>
          <w:rFonts w:hint="eastAsia" w:ascii="宋体" w:hAnsi="宋体" w:eastAsia="黑体"/>
          <w:sz w:val="30"/>
          <w:szCs w:val="30"/>
        </w:rPr>
        <w:t>一、基本信息</w:t>
      </w:r>
    </w:p>
    <w:tbl>
      <w:tblPr>
        <w:tblStyle w:val="9"/>
        <w:tblW w:w="9039"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1807"/>
        <w:gridCol w:w="1808"/>
        <w:gridCol w:w="963"/>
        <w:gridCol w:w="845"/>
        <w:gridCol w:w="997"/>
        <w:gridCol w:w="811"/>
        <w:gridCol w:w="1808"/>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59" w:hRule="atLeas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姓    名</w:t>
            </w:r>
          </w:p>
        </w:tc>
        <w:tc>
          <w:tcPr>
            <w:tcW w:w="180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卢春华</w:t>
            </w:r>
          </w:p>
        </w:tc>
        <w:tc>
          <w:tcPr>
            <w:tcW w:w="1808"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性    别</w:t>
            </w:r>
          </w:p>
        </w:tc>
        <w:tc>
          <w:tcPr>
            <w:tcW w:w="1808"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男</w:t>
            </w:r>
          </w:p>
        </w:tc>
        <w:tc>
          <w:tcPr>
            <w:tcW w:w="1808" w:type="dxa"/>
            <w:vMerge w:val="restart"/>
            <w:tcBorders>
              <w:top w:val="single" w:color="auto" w:sz="4" w:space="0"/>
              <w:left w:val="single" w:color="auto" w:sz="4" w:space="0"/>
              <w:right w:val="single" w:color="auto" w:sz="4" w:space="0"/>
            </w:tcBorders>
            <w:vAlign w:val="center"/>
          </w:tcPr>
          <w:p>
            <w:pPr>
              <w:rPr>
                <w:rFonts w:ascii="宋体" w:hAnsi="宋体" w:eastAsia="华文仿宋"/>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59" w:hRule="atLeas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pacing w:val="-4"/>
                <w:sz w:val="28"/>
                <w:szCs w:val="28"/>
              </w:rPr>
              <w:t>出生日期</w:t>
            </w:r>
          </w:p>
        </w:tc>
        <w:tc>
          <w:tcPr>
            <w:tcW w:w="180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华文仿宋" w:cs="Times New Roman"/>
                <w:sz w:val="28"/>
                <w:szCs w:val="28"/>
              </w:rPr>
            </w:pPr>
            <w:r>
              <w:rPr>
                <w:rFonts w:ascii="Times New Roman" w:hAnsi="Times New Roman" w:eastAsia="华文仿宋" w:cs="Times New Roman"/>
                <w:sz w:val="28"/>
                <w:szCs w:val="28"/>
              </w:rPr>
              <w:t>1983.3.23</w:t>
            </w:r>
          </w:p>
        </w:tc>
        <w:tc>
          <w:tcPr>
            <w:tcW w:w="1808"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华文仿宋" w:cs="Times New Roman"/>
                <w:sz w:val="28"/>
                <w:szCs w:val="28"/>
              </w:rPr>
            </w:pPr>
            <w:r>
              <w:rPr>
                <w:rFonts w:ascii="Times New Roman" w:hAnsi="Times New Roman" w:eastAsia="华文仿宋" w:cs="Times New Roman"/>
                <w:sz w:val="28"/>
                <w:szCs w:val="28"/>
              </w:rPr>
              <w:t>民    族</w:t>
            </w:r>
          </w:p>
        </w:tc>
        <w:tc>
          <w:tcPr>
            <w:tcW w:w="1808"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华文仿宋" w:cs="Times New Roman"/>
                <w:sz w:val="28"/>
                <w:szCs w:val="28"/>
              </w:rPr>
            </w:pPr>
            <w:r>
              <w:rPr>
                <w:rFonts w:ascii="Times New Roman" w:hAnsi="Times New Roman" w:eastAsia="华文仿宋" w:cs="Times New Roman"/>
                <w:sz w:val="28"/>
                <w:szCs w:val="28"/>
              </w:rPr>
              <w:t>汉</w:t>
            </w:r>
          </w:p>
        </w:tc>
        <w:tc>
          <w:tcPr>
            <w:tcW w:w="1808" w:type="dxa"/>
            <w:vMerge w:val="continue"/>
            <w:tcBorders>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华文仿宋" w:cs="Times New Roman"/>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59" w:hRule="atLeas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4"/>
                <w:sz w:val="28"/>
                <w:szCs w:val="28"/>
              </w:rPr>
            </w:pPr>
            <w:r>
              <w:rPr>
                <w:rFonts w:hint="eastAsia" w:ascii="宋体" w:hAnsi="宋体" w:eastAsia="华文仿宋"/>
                <w:sz w:val="28"/>
                <w:szCs w:val="28"/>
              </w:rPr>
              <w:t>学    历</w:t>
            </w:r>
          </w:p>
        </w:tc>
        <w:tc>
          <w:tcPr>
            <w:tcW w:w="180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华文仿宋" w:cs="Times New Roman"/>
                <w:sz w:val="28"/>
                <w:szCs w:val="28"/>
              </w:rPr>
            </w:pPr>
            <w:r>
              <w:rPr>
                <w:rFonts w:ascii="Times New Roman" w:hAnsi="Times New Roman" w:eastAsia="华文仿宋" w:cs="Times New Roman"/>
                <w:sz w:val="28"/>
                <w:szCs w:val="28"/>
              </w:rPr>
              <w:t>研究生</w:t>
            </w:r>
          </w:p>
        </w:tc>
        <w:tc>
          <w:tcPr>
            <w:tcW w:w="1808"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华文仿宋" w:cs="Times New Roman"/>
                <w:sz w:val="28"/>
                <w:szCs w:val="28"/>
              </w:rPr>
            </w:pPr>
            <w:r>
              <w:rPr>
                <w:rFonts w:ascii="Times New Roman" w:hAnsi="Times New Roman" w:eastAsia="华文仿宋" w:cs="Times New Roman"/>
                <w:sz w:val="28"/>
                <w:szCs w:val="28"/>
              </w:rPr>
              <w:t>学    位</w:t>
            </w:r>
          </w:p>
        </w:tc>
        <w:tc>
          <w:tcPr>
            <w:tcW w:w="1808"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华文仿宋" w:cs="Times New Roman"/>
                <w:sz w:val="28"/>
                <w:szCs w:val="28"/>
              </w:rPr>
            </w:pPr>
            <w:r>
              <w:rPr>
                <w:rFonts w:ascii="Times New Roman" w:hAnsi="Times New Roman" w:eastAsia="华文仿宋" w:cs="Times New Roman"/>
                <w:sz w:val="28"/>
                <w:szCs w:val="28"/>
              </w:rPr>
              <w:t>博士</w:t>
            </w:r>
          </w:p>
        </w:tc>
        <w:tc>
          <w:tcPr>
            <w:tcW w:w="1808"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华文仿宋" w:cs="Times New Roman"/>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59" w:hRule="atLeas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4"/>
                <w:sz w:val="28"/>
                <w:szCs w:val="28"/>
              </w:rPr>
            </w:pPr>
            <w:r>
              <w:rPr>
                <w:rFonts w:hint="eastAsia" w:ascii="宋体" w:hAnsi="宋体" w:eastAsia="华文仿宋"/>
                <w:sz w:val="28"/>
                <w:szCs w:val="28"/>
              </w:rPr>
              <w:t>籍    贯</w:t>
            </w:r>
          </w:p>
        </w:tc>
        <w:tc>
          <w:tcPr>
            <w:tcW w:w="1808" w:type="dxa"/>
            <w:tcBorders>
              <w:top w:val="single" w:color="auto" w:sz="4" w:space="0"/>
              <w:left w:val="single" w:color="auto" w:sz="4" w:space="0"/>
              <w:bottom w:val="nil"/>
              <w:right w:val="single" w:color="auto" w:sz="4" w:space="0"/>
            </w:tcBorders>
            <w:vAlign w:val="center"/>
          </w:tcPr>
          <w:p>
            <w:pPr>
              <w:spacing w:line="400" w:lineRule="exact"/>
              <w:jc w:val="center"/>
              <w:rPr>
                <w:rFonts w:ascii="Times New Roman" w:hAnsi="Times New Roman" w:eastAsia="华文仿宋" w:cs="Times New Roman"/>
                <w:sz w:val="28"/>
                <w:szCs w:val="28"/>
              </w:rPr>
            </w:pPr>
            <w:r>
              <w:rPr>
                <w:rFonts w:ascii="Times New Roman" w:hAnsi="Times New Roman" w:eastAsia="华文仿宋" w:cs="Times New Roman"/>
                <w:sz w:val="28"/>
                <w:szCs w:val="28"/>
              </w:rPr>
              <w:t>福建寿宁</w:t>
            </w:r>
          </w:p>
        </w:tc>
        <w:tc>
          <w:tcPr>
            <w:tcW w:w="1808" w:type="dxa"/>
            <w:gridSpan w:val="2"/>
            <w:tcBorders>
              <w:top w:val="single" w:color="auto" w:sz="4" w:space="0"/>
              <w:left w:val="single" w:color="auto" w:sz="4" w:space="0"/>
              <w:bottom w:val="nil"/>
              <w:right w:val="single" w:color="auto" w:sz="4" w:space="0"/>
            </w:tcBorders>
            <w:vAlign w:val="center"/>
          </w:tcPr>
          <w:p>
            <w:pPr>
              <w:spacing w:line="400" w:lineRule="exact"/>
              <w:jc w:val="center"/>
              <w:rPr>
                <w:rFonts w:ascii="Times New Roman" w:hAnsi="Times New Roman" w:eastAsia="华文仿宋" w:cs="Times New Roman"/>
                <w:sz w:val="28"/>
                <w:szCs w:val="28"/>
              </w:rPr>
            </w:pPr>
            <w:r>
              <w:rPr>
                <w:rFonts w:ascii="Times New Roman" w:hAnsi="Times New Roman" w:eastAsia="华文仿宋" w:cs="Times New Roman"/>
                <w:sz w:val="28"/>
                <w:szCs w:val="28"/>
              </w:rPr>
              <w:t>政治面貌</w:t>
            </w:r>
          </w:p>
        </w:tc>
        <w:tc>
          <w:tcPr>
            <w:tcW w:w="1808" w:type="dxa"/>
            <w:gridSpan w:val="2"/>
            <w:tcBorders>
              <w:top w:val="single" w:color="auto" w:sz="4" w:space="0"/>
              <w:left w:val="single" w:color="auto" w:sz="4" w:space="0"/>
              <w:bottom w:val="nil"/>
              <w:right w:val="single" w:color="auto" w:sz="4" w:space="0"/>
            </w:tcBorders>
            <w:vAlign w:val="center"/>
          </w:tcPr>
          <w:p>
            <w:pPr>
              <w:spacing w:line="400" w:lineRule="exact"/>
              <w:jc w:val="center"/>
              <w:rPr>
                <w:rFonts w:ascii="Times New Roman" w:hAnsi="Times New Roman" w:eastAsia="华文仿宋" w:cs="Times New Roman"/>
                <w:sz w:val="28"/>
                <w:szCs w:val="28"/>
              </w:rPr>
            </w:pPr>
            <w:r>
              <w:rPr>
                <w:rFonts w:ascii="Times New Roman" w:hAnsi="Times New Roman" w:eastAsia="华文仿宋" w:cs="Times New Roman"/>
                <w:sz w:val="28"/>
                <w:szCs w:val="28"/>
              </w:rPr>
              <w:t>中共党员</w:t>
            </w:r>
          </w:p>
        </w:tc>
        <w:tc>
          <w:tcPr>
            <w:tcW w:w="1808"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华文仿宋" w:cs="Times New Roman"/>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10"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专业技术职务</w:t>
            </w:r>
          </w:p>
        </w:tc>
        <w:tc>
          <w:tcPr>
            <w:tcW w:w="180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华文仿宋" w:cs="Times New Roman"/>
                <w:sz w:val="28"/>
                <w:szCs w:val="28"/>
              </w:rPr>
            </w:pPr>
            <w:r>
              <w:rPr>
                <w:rFonts w:ascii="Times New Roman" w:hAnsi="Times New Roman" w:eastAsia="华文仿宋" w:cs="Times New Roman"/>
                <w:sz w:val="28"/>
                <w:szCs w:val="28"/>
              </w:rPr>
              <w:t>教授</w:t>
            </w:r>
          </w:p>
        </w:tc>
        <w:tc>
          <w:tcPr>
            <w:tcW w:w="1808"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华文仿宋" w:cs="Times New Roman"/>
                <w:spacing w:val="-20"/>
                <w:sz w:val="28"/>
                <w:szCs w:val="28"/>
              </w:rPr>
            </w:pPr>
            <w:r>
              <w:rPr>
                <w:rFonts w:ascii="Times New Roman" w:hAnsi="Times New Roman" w:eastAsia="华文仿宋" w:cs="Times New Roman"/>
                <w:sz w:val="28"/>
                <w:szCs w:val="28"/>
              </w:rPr>
              <w:t>专业专长</w:t>
            </w:r>
          </w:p>
        </w:tc>
        <w:tc>
          <w:tcPr>
            <w:tcW w:w="3616"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华文仿宋" w:cs="Times New Roman"/>
                <w:sz w:val="28"/>
                <w:szCs w:val="28"/>
              </w:rPr>
            </w:pPr>
            <w:r>
              <w:rPr>
                <w:rFonts w:ascii="Times New Roman" w:hAnsi="Times New Roman" w:eastAsia="华文仿宋" w:cs="Times New Roman"/>
                <w:sz w:val="28"/>
                <w:szCs w:val="28"/>
              </w:rPr>
              <w:t>分析化学</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59" w:hRule="atLeast"/>
          <w:jc w:val="center"/>
        </w:trPr>
        <w:tc>
          <w:tcPr>
            <w:tcW w:w="1807" w:type="dxa"/>
            <w:tcBorders>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身份证号码</w:t>
            </w:r>
          </w:p>
        </w:tc>
        <w:tc>
          <w:tcPr>
            <w:tcW w:w="7232" w:type="dxa"/>
            <w:gridSpan w:val="6"/>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华文仿宋" w:cs="Times New Roman"/>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794"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宋体" w:hAnsi="宋体" w:eastAsia="华文仿宋"/>
                <w:sz w:val="28"/>
                <w:szCs w:val="28"/>
              </w:rPr>
            </w:pPr>
            <w:r>
              <w:rPr>
                <w:rFonts w:hint="eastAsia" w:ascii="宋体" w:hAnsi="宋体" w:eastAsia="华文仿宋"/>
                <w:sz w:val="28"/>
                <w:szCs w:val="28"/>
              </w:rPr>
              <w:t>工作单位及</w:t>
            </w:r>
          </w:p>
          <w:p>
            <w:pPr>
              <w:spacing w:line="340" w:lineRule="exact"/>
              <w:jc w:val="center"/>
              <w:rPr>
                <w:rFonts w:ascii="宋体" w:hAnsi="宋体" w:eastAsia="华文仿宋"/>
                <w:sz w:val="28"/>
                <w:szCs w:val="28"/>
              </w:rPr>
            </w:pPr>
            <w:r>
              <w:rPr>
                <w:rFonts w:hint="eastAsia" w:ascii="宋体" w:hAnsi="宋体" w:eastAsia="华文仿宋"/>
                <w:sz w:val="28"/>
                <w:szCs w:val="28"/>
              </w:rPr>
              <w:t>行政职务</w:t>
            </w:r>
          </w:p>
        </w:tc>
        <w:tc>
          <w:tcPr>
            <w:tcW w:w="7232" w:type="dxa"/>
            <w:gridSpan w:val="6"/>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华文仿宋" w:cs="Times New Roman"/>
                <w:sz w:val="28"/>
                <w:szCs w:val="28"/>
              </w:rPr>
            </w:pPr>
            <w:r>
              <w:rPr>
                <w:rFonts w:ascii="Times New Roman" w:hAnsi="Times New Roman" w:eastAsia="华文仿宋" w:cs="Times New Roman"/>
                <w:sz w:val="28"/>
                <w:szCs w:val="28"/>
              </w:rPr>
              <w:t>福州大学化学学院 / 无</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3" w:hRule="atLeas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通信地址</w:t>
            </w:r>
          </w:p>
        </w:tc>
        <w:tc>
          <w:tcPr>
            <w:tcW w:w="7232" w:type="dxa"/>
            <w:gridSpan w:val="6"/>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华文仿宋" w:cs="Times New Roman"/>
                <w:sz w:val="28"/>
                <w:szCs w:val="28"/>
              </w:rPr>
            </w:pPr>
            <w:r>
              <w:rPr>
                <w:rFonts w:ascii="Times New Roman" w:hAnsi="Times New Roman" w:eastAsia="华文仿宋" w:cs="Times New Roman"/>
                <w:sz w:val="28"/>
                <w:szCs w:val="28"/>
              </w:rPr>
              <w:t>福建省福州市福州地区大学新区学园路2号福州大学阳光科技大厦北506</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省属/中央驻闽单位</w:t>
            </w:r>
          </w:p>
        </w:tc>
        <w:tc>
          <w:tcPr>
            <w:tcW w:w="277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华文仿宋" w:cs="Times New Roman"/>
                <w:sz w:val="28"/>
                <w:szCs w:val="28"/>
              </w:rPr>
            </w:pPr>
            <w:r>
              <w:rPr>
                <w:rFonts w:ascii="Times New Roman" w:hAnsi="Times New Roman" w:eastAsia="华文仿宋" w:cs="Times New Roman"/>
                <w:sz w:val="28"/>
                <w:szCs w:val="28"/>
              </w:rPr>
              <w:t>省属驻闽单位</w:t>
            </w:r>
          </w:p>
        </w:tc>
        <w:tc>
          <w:tcPr>
            <w:tcW w:w="1842"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华文仿宋" w:cs="Times New Roman"/>
                <w:sz w:val="28"/>
                <w:szCs w:val="28"/>
              </w:rPr>
            </w:pPr>
            <w:r>
              <w:rPr>
                <w:rFonts w:ascii="Times New Roman" w:hAnsi="Times New Roman" w:eastAsia="华文仿宋" w:cs="Times New Roman"/>
                <w:sz w:val="28"/>
                <w:szCs w:val="28"/>
              </w:rPr>
              <w:t>邮政编码</w:t>
            </w:r>
          </w:p>
        </w:tc>
        <w:tc>
          <w:tcPr>
            <w:tcW w:w="2619"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华文仿宋" w:cs="Times New Roman"/>
                <w:sz w:val="28"/>
                <w:szCs w:val="28"/>
              </w:rPr>
            </w:pPr>
            <w:r>
              <w:rPr>
                <w:rFonts w:ascii="Times New Roman" w:hAnsi="Times New Roman" w:eastAsia="华文仿宋" w:cs="Times New Roman"/>
                <w:sz w:val="28"/>
                <w:szCs w:val="28"/>
              </w:rPr>
              <w:t>350116</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办公电话</w:t>
            </w:r>
          </w:p>
        </w:tc>
        <w:tc>
          <w:tcPr>
            <w:tcW w:w="277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华文仿宋" w:cs="Times New Roman"/>
                <w:sz w:val="28"/>
                <w:szCs w:val="28"/>
              </w:rPr>
            </w:pPr>
            <w:r>
              <w:rPr>
                <w:rFonts w:ascii="Times New Roman" w:hAnsi="Times New Roman" w:eastAsia="华文仿宋" w:cs="Times New Roman"/>
                <w:sz w:val="28"/>
                <w:szCs w:val="28"/>
              </w:rPr>
              <w:t>059122866135</w:t>
            </w:r>
          </w:p>
        </w:tc>
        <w:tc>
          <w:tcPr>
            <w:tcW w:w="1842"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华文仿宋" w:cs="Times New Roman"/>
                <w:sz w:val="28"/>
                <w:szCs w:val="28"/>
              </w:rPr>
            </w:pPr>
            <w:r>
              <w:rPr>
                <w:rFonts w:ascii="Times New Roman" w:hAnsi="Times New Roman" w:eastAsia="华文仿宋" w:cs="Times New Roman"/>
                <w:sz w:val="28"/>
                <w:szCs w:val="28"/>
              </w:rPr>
              <w:t>手    机</w:t>
            </w:r>
          </w:p>
        </w:tc>
        <w:tc>
          <w:tcPr>
            <w:tcW w:w="2619"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华文仿宋" w:cs="Times New Roman"/>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传真号码</w:t>
            </w:r>
          </w:p>
        </w:tc>
        <w:tc>
          <w:tcPr>
            <w:tcW w:w="2771" w:type="dxa"/>
            <w:gridSpan w:val="2"/>
            <w:tcBorders>
              <w:top w:val="single" w:color="auto" w:sz="4" w:space="0"/>
              <w:left w:val="single" w:color="auto" w:sz="4" w:space="0"/>
              <w:bottom w:val="single" w:color="auto" w:sz="4" w:space="0"/>
            </w:tcBorders>
            <w:vAlign w:val="center"/>
          </w:tcPr>
          <w:p>
            <w:pPr>
              <w:spacing w:line="400" w:lineRule="exact"/>
              <w:jc w:val="center"/>
              <w:rPr>
                <w:rFonts w:ascii="Times New Roman" w:hAnsi="Times New Roman" w:eastAsia="华文仿宋" w:cs="Times New Roman"/>
                <w:sz w:val="28"/>
                <w:szCs w:val="28"/>
              </w:rPr>
            </w:pPr>
          </w:p>
        </w:tc>
        <w:tc>
          <w:tcPr>
            <w:tcW w:w="1842" w:type="dxa"/>
            <w:gridSpan w:val="2"/>
            <w:tcBorders>
              <w:top w:val="single" w:color="auto" w:sz="4" w:space="0"/>
              <w:left w:val="single" w:color="auto" w:sz="4" w:space="0"/>
              <w:bottom w:val="single" w:color="auto" w:sz="4" w:space="0"/>
            </w:tcBorders>
            <w:vAlign w:val="center"/>
          </w:tcPr>
          <w:p>
            <w:pPr>
              <w:spacing w:line="400" w:lineRule="exact"/>
              <w:jc w:val="center"/>
              <w:rPr>
                <w:rFonts w:ascii="Times New Roman" w:hAnsi="Times New Roman" w:eastAsia="华文仿宋" w:cs="Times New Roman"/>
                <w:sz w:val="28"/>
                <w:szCs w:val="28"/>
              </w:rPr>
            </w:pPr>
            <w:r>
              <w:rPr>
                <w:rFonts w:ascii="Times New Roman" w:hAnsi="Times New Roman" w:eastAsia="华文仿宋" w:cs="Times New Roman"/>
                <w:sz w:val="28"/>
                <w:szCs w:val="28"/>
              </w:rPr>
              <w:t>电子信箱</w:t>
            </w:r>
          </w:p>
        </w:tc>
        <w:tc>
          <w:tcPr>
            <w:tcW w:w="2619"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华文仿宋" w:cs="Times New Roman"/>
                <w:sz w:val="25"/>
                <w:szCs w:val="25"/>
              </w:rPr>
            </w:pPr>
            <w:r>
              <w:rPr>
                <w:rFonts w:ascii="Times New Roman" w:hAnsi="Times New Roman" w:eastAsia="华文仿宋" w:cs="Times New Roman"/>
                <w:sz w:val="25"/>
                <w:szCs w:val="25"/>
              </w:rPr>
              <w:t>chunhualu@fzu.edu.cn</w:t>
            </w:r>
          </w:p>
        </w:tc>
      </w:tr>
    </w:tbl>
    <w:p>
      <w:pPr>
        <w:rPr>
          <w:rFonts w:ascii="宋体" w:hAnsi="宋体" w:eastAsia="黑体"/>
          <w:sz w:val="30"/>
          <w:szCs w:val="30"/>
        </w:rPr>
      </w:pPr>
      <w:r>
        <w:rPr>
          <w:rFonts w:hint="eastAsia" w:ascii="宋体" w:hAnsi="宋体" w:eastAsia="黑体"/>
          <w:sz w:val="30"/>
          <w:szCs w:val="30"/>
        </w:rPr>
        <w:t>二、主要学历（从大专或大学填起）</w:t>
      </w:r>
    </w:p>
    <w:tbl>
      <w:tblPr>
        <w:tblStyle w:val="9"/>
        <w:tblW w:w="903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7"/>
        <w:gridCol w:w="3121"/>
        <w:gridCol w:w="2410"/>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1807" w:type="dxa"/>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起止年月</w:t>
            </w:r>
          </w:p>
        </w:tc>
        <w:tc>
          <w:tcPr>
            <w:tcW w:w="3121" w:type="dxa"/>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校（院）及系名称</w:t>
            </w:r>
          </w:p>
        </w:tc>
        <w:tc>
          <w:tcPr>
            <w:tcW w:w="2410" w:type="dxa"/>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专业</w:t>
            </w:r>
          </w:p>
        </w:tc>
        <w:tc>
          <w:tcPr>
            <w:tcW w:w="1701" w:type="dxa"/>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学位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jc w:val="center"/>
        </w:trPr>
        <w:tc>
          <w:tcPr>
            <w:tcW w:w="1807" w:type="dxa"/>
            <w:vAlign w:val="center"/>
          </w:tcPr>
          <w:p>
            <w:pPr>
              <w:spacing w:line="400" w:lineRule="exact"/>
              <w:jc w:val="center"/>
              <w:rPr>
                <w:rFonts w:ascii="Times New Roman" w:hAnsi="Times New Roman" w:eastAsia="华文仿宋" w:cs="Times New Roman"/>
                <w:spacing w:val="-20"/>
                <w:sz w:val="28"/>
                <w:szCs w:val="28"/>
              </w:rPr>
            </w:pPr>
            <w:r>
              <w:rPr>
                <w:rFonts w:ascii="Times New Roman" w:hAnsi="Times New Roman" w:eastAsia="华文仿宋" w:cs="Times New Roman"/>
                <w:spacing w:val="-20"/>
                <w:sz w:val="28"/>
                <w:szCs w:val="28"/>
              </w:rPr>
              <w:t>2001.9-2005.7</w:t>
            </w:r>
          </w:p>
        </w:tc>
        <w:tc>
          <w:tcPr>
            <w:tcW w:w="3121" w:type="dxa"/>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福州大学</w:t>
            </w:r>
            <w:r>
              <w:rPr>
                <w:rFonts w:ascii="宋体" w:hAnsi="宋体" w:eastAsia="华文仿宋"/>
                <w:sz w:val="28"/>
                <w:szCs w:val="28"/>
              </w:rPr>
              <w:t>化学化工学院</w:t>
            </w:r>
          </w:p>
        </w:tc>
        <w:tc>
          <w:tcPr>
            <w:tcW w:w="2410" w:type="dxa"/>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化学</w:t>
            </w:r>
            <w:r>
              <w:rPr>
                <w:rFonts w:ascii="宋体" w:hAnsi="宋体" w:eastAsia="华文仿宋"/>
                <w:spacing w:val="-20"/>
                <w:sz w:val="28"/>
                <w:szCs w:val="28"/>
              </w:rPr>
              <w:t>基地班</w:t>
            </w:r>
          </w:p>
        </w:tc>
        <w:tc>
          <w:tcPr>
            <w:tcW w:w="1701" w:type="dxa"/>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学士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jc w:val="center"/>
        </w:trPr>
        <w:tc>
          <w:tcPr>
            <w:tcW w:w="1807" w:type="dxa"/>
            <w:vAlign w:val="center"/>
          </w:tcPr>
          <w:p>
            <w:pPr>
              <w:spacing w:line="400" w:lineRule="exact"/>
              <w:jc w:val="center"/>
              <w:rPr>
                <w:rFonts w:ascii="Times New Roman" w:hAnsi="Times New Roman" w:eastAsia="华文仿宋" w:cs="Times New Roman"/>
                <w:spacing w:val="-20"/>
                <w:sz w:val="28"/>
                <w:szCs w:val="28"/>
              </w:rPr>
            </w:pPr>
            <w:r>
              <w:rPr>
                <w:rFonts w:ascii="Times New Roman" w:hAnsi="Times New Roman" w:eastAsia="华文仿宋" w:cs="Times New Roman"/>
                <w:spacing w:val="-20"/>
                <w:sz w:val="28"/>
                <w:szCs w:val="28"/>
              </w:rPr>
              <w:t>2005.9-2011.7</w:t>
            </w:r>
          </w:p>
        </w:tc>
        <w:tc>
          <w:tcPr>
            <w:tcW w:w="3121" w:type="dxa"/>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福州大学</w:t>
            </w:r>
            <w:r>
              <w:rPr>
                <w:rFonts w:ascii="宋体" w:hAnsi="宋体" w:eastAsia="华文仿宋"/>
                <w:sz w:val="28"/>
                <w:szCs w:val="28"/>
              </w:rPr>
              <w:t>化学化工学院</w:t>
            </w:r>
          </w:p>
        </w:tc>
        <w:tc>
          <w:tcPr>
            <w:tcW w:w="2410" w:type="dxa"/>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分析化学</w:t>
            </w:r>
          </w:p>
        </w:tc>
        <w:tc>
          <w:tcPr>
            <w:tcW w:w="1701" w:type="dxa"/>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博士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jc w:val="center"/>
        </w:trPr>
        <w:tc>
          <w:tcPr>
            <w:tcW w:w="1807" w:type="dxa"/>
            <w:vAlign w:val="center"/>
          </w:tcPr>
          <w:p>
            <w:pPr>
              <w:spacing w:line="400" w:lineRule="exact"/>
              <w:jc w:val="center"/>
              <w:rPr>
                <w:rFonts w:ascii="宋体" w:hAnsi="宋体" w:eastAsia="华文仿宋"/>
                <w:spacing w:val="-20"/>
                <w:sz w:val="28"/>
                <w:szCs w:val="28"/>
              </w:rPr>
            </w:pPr>
          </w:p>
        </w:tc>
        <w:tc>
          <w:tcPr>
            <w:tcW w:w="3121" w:type="dxa"/>
            <w:vAlign w:val="center"/>
          </w:tcPr>
          <w:p>
            <w:pPr>
              <w:spacing w:line="400" w:lineRule="exact"/>
              <w:jc w:val="center"/>
              <w:rPr>
                <w:rFonts w:ascii="宋体" w:hAnsi="宋体" w:eastAsia="华文仿宋"/>
                <w:sz w:val="28"/>
                <w:szCs w:val="28"/>
              </w:rPr>
            </w:pPr>
          </w:p>
        </w:tc>
        <w:tc>
          <w:tcPr>
            <w:tcW w:w="2410" w:type="dxa"/>
            <w:vAlign w:val="center"/>
          </w:tcPr>
          <w:p>
            <w:pPr>
              <w:spacing w:line="400" w:lineRule="exact"/>
              <w:jc w:val="center"/>
              <w:rPr>
                <w:rFonts w:ascii="宋体" w:hAnsi="宋体" w:eastAsia="华文仿宋"/>
                <w:spacing w:val="-20"/>
                <w:sz w:val="28"/>
                <w:szCs w:val="28"/>
              </w:rPr>
            </w:pPr>
          </w:p>
        </w:tc>
        <w:tc>
          <w:tcPr>
            <w:tcW w:w="1701" w:type="dxa"/>
            <w:vAlign w:val="center"/>
          </w:tcPr>
          <w:p>
            <w:pPr>
              <w:spacing w:line="400" w:lineRule="exact"/>
              <w:jc w:val="center"/>
              <w:rPr>
                <w:rFonts w:ascii="宋体" w:hAnsi="宋体" w:eastAsia="华文仿宋"/>
                <w:sz w:val="28"/>
                <w:szCs w:val="28"/>
              </w:rPr>
            </w:pPr>
          </w:p>
        </w:tc>
      </w:tr>
    </w:tbl>
    <w:p>
      <w:pPr>
        <w:rPr>
          <w:rFonts w:ascii="宋体" w:hAnsi="宋体" w:eastAsia="黑体"/>
          <w:sz w:val="30"/>
          <w:szCs w:val="30"/>
        </w:rPr>
      </w:pPr>
      <w:r>
        <w:rPr>
          <w:rFonts w:hint="eastAsia" w:ascii="宋体" w:hAnsi="宋体" w:eastAsia="黑体"/>
          <w:sz w:val="30"/>
          <w:szCs w:val="30"/>
        </w:rPr>
        <w:t>三、主要经历</w:t>
      </w:r>
    </w:p>
    <w:tbl>
      <w:tblPr>
        <w:tblStyle w:val="9"/>
        <w:tblW w:w="9039"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1807"/>
        <w:gridCol w:w="4397"/>
        <w:gridCol w:w="2835"/>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95"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起止年月</w:t>
            </w:r>
          </w:p>
        </w:tc>
        <w:tc>
          <w:tcPr>
            <w:tcW w:w="43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工作单位</w:t>
            </w: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职务/职称</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95"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华文仿宋" w:cs="Times New Roman"/>
                <w:spacing w:val="-20"/>
                <w:sz w:val="28"/>
                <w:szCs w:val="28"/>
              </w:rPr>
            </w:pPr>
            <w:r>
              <w:rPr>
                <w:rFonts w:ascii="Times New Roman" w:hAnsi="Times New Roman" w:eastAsia="华文仿宋" w:cs="Times New Roman"/>
                <w:spacing w:val="-20"/>
                <w:sz w:val="28"/>
                <w:szCs w:val="28"/>
              </w:rPr>
              <w:t>2011.10-2015.5</w:t>
            </w:r>
          </w:p>
        </w:tc>
        <w:tc>
          <w:tcPr>
            <w:tcW w:w="43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以色列</w:t>
            </w:r>
            <w:r>
              <w:rPr>
                <w:rFonts w:ascii="宋体" w:hAnsi="宋体" w:eastAsia="华文仿宋"/>
                <w:spacing w:val="-20"/>
                <w:sz w:val="28"/>
                <w:szCs w:val="28"/>
              </w:rPr>
              <w:t>耶路撒冷希伯来大学</w:t>
            </w: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博士后</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95"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华文仿宋" w:cs="Times New Roman"/>
                <w:spacing w:val="-20"/>
                <w:sz w:val="28"/>
                <w:szCs w:val="28"/>
              </w:rPr>
            </w:pPr>
            <w:r>
              <w:rPr>
                <w:rFonts w:ascii="Times New Roman" w:hAnsi="Times New Roman" w:eastAsia="华文仿宋" w:cs="Times New Roman"/>
                <w:spacing w:val="-20"/>
                <w:sz w:val="28"/>
                <w:szCs w:val="28"/>
              </w:rPr>
              <w:t>2015.5-至今</w:t>
            </w:r>
          </w:p>
        </w:tc>
        <w:tc>
          <w:tcPr>
            <w:tcW w:w="43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福州大学</w:t>
            </w:r>
            <w:r>
              <w:rPr>
                <w:rFonts w:ascii="宋体" w:hAnsi="宋体" w:eastAsia="华文仿宋"/>
                <w:spacing w:val="-20"/>
                <w:sz w:val="28"/>
                <w:szCs w:val="28"/>
              </w:rPr>
              <w:t>化学学院</w:t>
            </w: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教授</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95"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p>
        </w:tc>
        <w:tc>
          <w:tcPr>
            <w:tcW w:w="43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p>
        </w:tc>
      </w:tr>
    </w:tbl>
    <w:p>
      <w:pPr>
        <w:rPr>
          <w:rFonts w:ascii="宋体" w:hAnsi="宋体" w:eastAsia="黑体"/>
          <w:sz w:val="30"/>
          <w:szCs w:val="30"/>
        </w:rPr>
      </w:pPr>
      <w:r>
        <w:rPr>
          <w:rFonts w:hint="eastAsia" w:ascii="宋体" w:hAnsi="宋体" w:eastAsia="黑体"/>
          <w:sz w:val="30"/>
          <w:szCs w:val="30"/>
        </w:rPr>
        <w:t>四、重要学术任（兼）职</w:t>
      </w:r>
    </w:p>
    <w:tbl>
      <w:tblPr>
        <w:tblStyle w:val="9"/>
        <w:tblW w:w="9039"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1807"/>
        <w:gridCol w:w="4397"/>
        <w:gridCol w:w="2835"/>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95"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起止年月</w:t>
            </w:r>
          </w:p>
        </w:tc>
        <w:tc>
          <w:tcPr>
            <w:tcW w:w="43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名     称</w:t>
            </w: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职务/职称</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95"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华文仿宋" w:cs="Times New Roman"/>
                <w:spacing w:val="-20"/>
                <w:sz w:val="28"/>
                <w:szCs w:val="28"/>
              </w:rPr>
            </w:pPr>
            <w:r>
              <w:rPr>
                <w:rFonts w:ascii="Times New Roman" w:hAnsi="Times New Roman" w:eastAsia="华文仿宋" w:cs="Times New Roman"/>
                <w:spacing w:val="-20"/>
                <w:sz w:val="28"/>
                <w:szCs w:val="28"/>
              </w:rPr>
              <w:t>2016.4-2020.4</w:t>
            </w:r>
          </w:p>
        </w:tc>
        <w:tc>
          <w:tcPr>
            <w:tcW w:w="43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华文仿宋" w:cs="Times New Roman"/>
                <w:spacing w:val="-20"/>
                <w:sz w:val="28"/>
                <w:szCs w:val="28"/>
              </w:rPr>
            </w:pPr>
            <w:r>
              <w:rPr>
                <w:rFonts w:ascii="Times New Roman" w:hAnsi="Times New Roman" w:eastAsia="华文仿宋" w:cs="Times New Roman"/>
                <w:spacing w:val="-20"/>
                <w:sz w:val="28"/>
                <w:szCs w:val="28"/>
              </w:rPr>
              <w:t>中国化学会</w:t>
            </w: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华文仿宋" w:cs="Times New Roman"/>
                <w:sz w:val="28"/>
                <w:szCs w:val="28"/>
              </w:rPr>
            </w:pPr>
            <w:r>
              <w:rPr>
                <w:rFonts w:ascii="Times New Roman" w:hAnsi="Times New Roman" w:eastAsia="华文仿宋" w:cs="Times New Roman"/>
                <w:sz w:val="28"/>
                <w:szCs w:val="28"/>
              </w:rPr>
              <w:t>会员</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95"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p>
        </w:tc>
        <w:tc>
          <w:tcPr>
            <w:tcW w:w="43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95"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p>
        </w:tc>
        <w:tc>
          <w:tcPr>
            <w:tcW w:w="43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p>
        </w:tc>
      </w:tr>
    </w:tbl>
    <w:p>
      <w:pPr>
        <w:widowControl/>
        <w:jc w:val="left"/>
        <w:rPr>
          <w:rFonts w:ascii="宋体" w:hAnsi="宋体" w:eastAsia="黑体"/>
          <w:sz w:val="30"/>
          <w:szCs w:val="30"/>
        </w:rPr>
      </w:pPr>
      <w:r>
        <w:rPr>
          <w:rFonts w:hint="eastAsia" w:ascii="宋体" w:hAnsi="宋体" w:eastAsia="黑体"/>
          <w:sz w:val="30"/>
          <w:szCs w:val="30"/>
        </w:rPr>
        <w:t>五、重要科技奖项情况</w:t>
      </w:r>
    </w:p>
    <w:tbl>
      <w:tblPr>
        <w:tblStyle w:val="9"/>
        <w:tblW w:w="9038"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1487"/>
        <w:gridCol w:w="1636"/>
        <w:gridCol w:w="3428"/>
        <w:gridCol w:w="2487"/>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jc w:val="center"/>
        </w:trPr>
        <w:tc>
          <w:tcPr>
            <w:tcW w:w="148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仿宋_GB2312"/>
                <w:sz w:val="28"/>
              </w:rPr>
            </w:pPr>
            <w:r>
              <w:rPr>
                <w:rFonts w:hint="eastAsia" w:ascii="宋体" w:hAnsi="宋体" w:eastAsia="仿宋_GB2312"/>
                <w:sz w:val="28"/>
              </w:rPr>
              <w:t>序号</w:t>
            </w:r>
          </w:p>
        </w:tc>
        <w:tc>
          <w:tcPr>
            <w:tcW w:w="163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仿宋_GB2312"/>
                <w:sz w:val="28"/>
              </w:rPr>
            </w:pPr>
            <w:r>
              <w:rPr>
                <w:rFonts w:hint="eastAsia" w:ascii="宋体" w:hAnsi="宋体" w:eastAsia="仿宋_GB2312"/>
                <w:sz w:val="28"/>
              </w:rPr>
              <w:t>获奖时间</w:t>
            </w:r>
          </w:p>
        </w:tc>
        <w:tc>
          <w:tcPr>
            <w:tcW w:w="342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仿宋_GB2312"/>
                <w:sz w:val="28"/>
              </w:rPr>
            </w:pPr>
            <w:r>
              <w:rPr>
                <w:rFonts w:hint="eastAsia" w:ascii="宋体" w:hAnsi="宋体" w:eastAsia="仿宋_GB2312"/>
                <w:sz w:val="28"/>
              </w:rPr>
              <w:t>奖项名称</w:t>
            </w:r>
          </w:p>
        </w:tc>
        <w:tc>
          <w:tcPr>
            <w:tcW w:w="248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仿宋_GB2312"/>
                <w:sz w:val="28"/>
              </w:rPr>
            </w:pPr>
            <w:r>
              <w:rPr>
                <w:rFonts w:hint="eastAsia" w:ascii="宋体" w:hAnsi="宋体" w:eastAsia="仿宋_GB2312"/>
                <w:sz w:val="28"/>
              </w:rPr>
              <w:t>奖励等级（排名）</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jc w:val="center"/>
        </w:trPr>
        <w:tc>
          <w:tcPr>
            <w:tcW w:w="1487" w:type="dxa"/>
            <w:tcBorders>
              <w:top w:val="single" w:color="auto" w:sz="4" w:space="0"/>
              <w:left w:val="single" w:color="auto" w:sz="4" w:space="0"/>
              <w:bottom w:val="single" w:color="auto" w:sz="4" w:space="0"/>
              <w:right w:val="single" w:color="auto" w:sz="4" w:space="0"/>
            </w:tcBorders>
          </w:tcPr>
          <w:p>
            <w:pPr>
              <w:spacing w:line="400" w:lineRule="exact"/>
              <w:jc w:val="center"/>
              <w:rPr>
                <w:rFonts w:ascii="Times New Roman" w:hAnsi="Times New Roman" w:eastAsia="仿宋_GB2312" w:cs="Times New Roman"/>
                <w:sz w:val="28"/>
              </w:rPr>
            </w:pPr>
            <w:r>
              <w:rPr>
                <w:rFonts w:hint="eastAsia" w:ascii="Times New Roman" w:hAnsi="Times New Roman" w:eastAsia="仿宋_GB2312" w:cs="Times New Roman"/>
                <w:sz w:val="28"/>
              </w:rPr>
              <w:t>1</w:t>
            </w:r>
          </w:p>
        </w:tc>
        <w:tc>
          <w:tcPr>
            <w:tcW w:w="1636" w:type="dxa"/>
            <w:tcBorders>
              <w:top w:val="single" w:color="auto" w:sz="4" w:space="0"/>
              <w:left w:val="single" w:color="auto" w:sz="4" w:space="0"/>
              <w:bottom w:val="single" w:color="auto" w:sz="4" w:space="0"/>
              <w:right w:val="single" w:color="auto" w:sz="4" w:space="0"/>
            </w:tcBorders>
          </w:tcPr>
          <w:p>
            <w:pPr>
              <w:spacing w:line="400" w:lineRule="exact"/>
              <w:jc w:val="center"/>
              <w:rPr>
                <w:rFonts w:ascii="Times New Roman" w:hAnsi="Times New Roman" w:eastAsia="仿宋_GB2312" w:cs="Times New Roman"/>
                <w:sz w:val="28"/>
              </w:rPr>
            </w:pPr>
            <w:r>
              <w:rPr>
                <w:rFonts w:ascii="Times New Roman" w:hAnsi="Times New Roman" w:eastAsia="仿宋_GB2312" w:cs="Times New Roman"/>
                <w:sz w:val="28"/>
              </w:rPr>
              <w:t>2017</w:t>
            </w:r>
          </w:p>
        </w:tc>
        <w:tc>
          <w:tcPr>
            <w:tcW w:w="3428" w:type="dxa"/>
            <w:tcBorders>
              <w:top w:val="single" w:color="auto" w:sz="4" w:space="0"/>
              <w:left w:val="single" w:color="auto" w:sz="4" w:space="0"/>
              <w:bottom w:val="single" w:color="auto" w:sz="4" w:space="0"/>
              <w:right w:val="single" w:color="auto" w:sz="4" w:space="0"/>
            </w:tcBorders>
          </w:tcPr>
          <w:p>
            <w:pPr>
              <w:spacing w:line="400" w:lineRule="exact"/>
              <w:rPr>
                <w:rFonts w:ascii="Times New Roman" w:hAnsi="Times New Roman" w:eastAsia="仿宋_GB2312" w:cs="Times New Roman"/>
                <w:sz w:val="28"/>
              </w:rPr>
            </w:pPr>
            <w:r>
              <w:rPr>
                <w:rFonts w:ascii="Times New Roman" w:hAnsi="Times New Roman" w:eastAsia="仿宋_GB2312" w:cs="Times New Roman"/>
                <w:sz w:val="28"/>
              </w:rPr>
              <w:t>福建省青年科技奖</w:t>
            </w:r>
          </w:p>
        </w:tc>
        <w:tc>
          <w:tcPr>
            <w:tcW w:w="2487" w:type="dxa"/>
            <w:tcBorders>
              <w:top w:val="single" w:color="auto" w:sz="4" w:space="0"/>
              <w:left w:val="single" w:color="auto" w:sz="4" w:space="0"/>
              <w:bottom w:val="single" w:color="auto" w:sz="4" w:space="0"/>
              <w:right w:val="single" w:color="auto" w:sz="4" w:space="0"/>
            </w:tcBorders>
          </w:tcPr>
          <w:p>
            <w:pPr>
              <w:spacing w:line="400" w:lineRule="exact"/>
              <w:rPr>
                <w:rFonts w:ascii="Times New Roman" w:hAnsi="Times New Roman" w:eastAsia="仿宋_GB2312" w:cs="Times New Roman"/>
                <w:sz w:val="28"/>
              </w:rPr>
            </w:pPr>
            <w:r>
              <w:rPr>
                <w:rFonts w:ascii="Times New Roman" w:hAnsi="Times New Roman" w:eastAsia="仿宋_GB2312" w:cs="Times New Roman"/>
                <w:sz w:val="28"/>
              </w:rPr>
              <w:t>省级</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jc w:val="center"/>
        </w:trPr>
        <w:tc>
          <w:tcPr>
            <w:tcW w:w="1487" w:type="dxa"/>
            <w:tcBorders>
              <w:top w:val="single" w:color="auto" w:sz="4" w:space="0"/>
              <w:left w:val="single" w:color="auto" w:sz="4" w:space="0"/>
              <w:bottom w:val="single" w:color="auto" w:sz="4" w:space="0"/>
              <w:right w:val="single" w:color="auto" w:sz="4" w:space="0"/>
            </w:tcBorders>
          </w:tcPr>
          <w:p>
            <w:pPr>
              <w:spacing w:line="400" w:lineRule="exact"/>
              <w:jc w:val="center"/>
              <w:rPr>
                <w:rFonts w:ascii="Times New Roman" w:hAnsi="Times New Roman" w:eastAsia="仿宋_GB2312" w:cs="Times New Roman"/>
                <w:sz w:val="28"/>
              </w:rPr>
            </w:pPr>
            <w:r>
              <w:rPr>
                <w:rFonts w:hint="eastAsia" w:ascii="Times New Roman" w:hAnsi="Times New Roman" w:eastAsia="仿宋_GB2312" w:cs="Times New Roman"/>
                <w:sz w:val="28"/>
              </w:rPr>
              <w:t>2</w:t>
            </w:r>
          </w:p>
        </w:tc>
        <w:tc>
          <w:tcPr>
            <w:tcW w:w="1636" w:type="dxa"/>
            <w:tcBorders>
              <w:top w:val="single" w:color="auto" w:sz="4" w:space="0"/>
              <w:left w:val="single" w:color="auto" w:sz="4" w:space="0"/>
              <w:bottom w:val="single" w:color="auto" w:sz="4" w:space="0"/>
              <w:right w:val="single" w:color="auto" w:sz="4" w:space="0"/>
            </w:tcBorders>
          </w:tcPr>
          <w:p>
            <w:pPr>
              <w:spacing w:line="400" w:lineRule="exact"/>
              <w:jc w:val="center"/>
              <w:rPr>
                <w:rFonts w:ascii="Times New Roman" w:hAnsi="Times New Roman" w:eastAsia="仿宋_GB2312" w:cs="Times New Roman"/>
                <w:sz w:val="28"/>
              </w:rPr>
            </w:pPr>
            <w:r>
              <w:rPr>
                <w:rFonts w:ascii="Times New Roman" w:hAnsi="Times New Roman" w:eastAsia="仿宋_GB2312" w:cs="Times New Roman"/>
                <w:sz w:val="28"/>
              </w:rPr>
              <w:t>2013</w:t>
            </w:r>
          </w:p>
        </w:tc>
        <w:tc>
          <w:tcPr>
            <w:tcW w:w="3428" w:type="dxa"/>
            <w:tcBorders>
              <w:top w:val="single" w:color="auto" w:sz="4" w:space="0"/>
              <w:left w:val="single" w:color="auto" w:sz="4" w:space="0"/>
              <w:bottom w:val="single" w:color="auto" w:sz="4" w:space="0"/>
              <w:right w:val="single" w:color="auto" w:sz="4" w:space="0"/>
            </w:tcBorders>
          </w:tcPr>
          <w:p>
            <w:pPr>
              <w:spacing w:line="400" w:lineRule="exact"/>
              <w:rPr>
                <w:rFonts w:ascii="Times New Roman" w:hAnsi="Times New Roman" w:eastAsia="仿宋_GB2312" w:cs="Times New Roman"/>
                <w:sz w:val="28"/>
              </w:rPr>
            </w:pPr>
            <w:r>
              <w:rPr>
                <w:rFonts w:ascii="Times New Roman" w:hAnsi="Times New Roman" w:eastAsia="仿宋_GB2312" w:cs="Times New Roman"/>
                <w:sz w:val="28"/>
              </w:rPr>
              <w:t>全国优秀博士学位论文提名奖</w:t>
            </w:r>
          </w:p>
        </w:tc>
        <w:tc>
          <w:tcPr>
            <w:tcW w:w="2487" w:type="dxa"/>
            <w:tcBorders>
              <w:top w:val="single" w:color="auto" w:sz="4" w:space="0"/>
              <w:left w:val="single" w:color="auto" w:sz="4" w:space="0"/>
              <w:bottom w:val="single" w:color="auto" w:sz="4" w:space="0"/>
              <w:right w:val="single" w:color="auto" w:sz="4" w:space="0"/>
            </w:tcBorders>
          </w:tcPr>
          <w:p>
            <w:pPr>
              <w:spacing w:line="400" w:lineRule="exact"/>
              <w:rPr>
                <w:rFonts w:ascii="Times New Roman" w:hAnsi="Times New Roman" w:eastAsia="仿宋_GB2312" w:cs="Times New Roman"/>
                <w:sz w:val="28"/>
              </w:rPr>
            </w:pPr>
            <w:r>
              <w:rPr>
                <w:rFonts w:ascii="Times New Roman" w:hAnsi="Times New Roman" w:eastAsia="仿宋_GB2312" w:cs="Times New Roman"/>
                <w:sz w:val="28"/>
              </w:rPr>
              <w:t>部委级</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jc w:val="center"/>
        </w:trPr>
        <w:tc>
          <w:tcPr>
            <w:tcW w:w="1487" w:type="dxa"/>
            <w:tcBorders>
              <w:top w:val="single" w:color="auto" w:sz="4" w:space="0"/>
              <w:left w:val="single" w:color="auto" w:sz="4" w:space="0"/>
              <w:bottom w:val="single" w:color="auto" w:sz="4" w:space="0"/>
              <w:right w:val="single" w:color="auto" w:sz="4" w:space="0"/>
            </w:tcBorders>
          </w:tcPr>
          <w:p>
            <w:pPr>
              <w:spacing w:line="400" w:lineRule="exact"/>
              <w:jc w:val="center"/>
              <w:rPr>
                <w:rFonts w:ascii="Times New Roman" w:hAnsi="Times New Roman" w:eastAsia="仿宋_GB2312" w:cs="Times New Roman"/>
                <w:sz w:val="28"/>
              </w:rPr>
            </w:pPr>
          </w:p>
        </w:tc>
        <w:tc>
          <w:tcPr>
            <w:tcW w:w="1636" w:type="dxa"/>
            <w:tcBorders>
              <w:top w:val="single" w:color="auto" w:sz="4" w:space="0"/>
              <w:left w:val="single" w:color="auto" w:sz="4" w:space="0"/>
              <w:bottom w:val="single" w:color="auto" w:sz="4" w:space="0"/>
              <w:right w:val="single" w:color="auto" w:sz="4" w:space="0"/>
            </w:tcBorders>
          </w:tcPr>
          <w:p>
            <w:pPr>
              <w:spacing w:line="400" w:lineRule="exact"/>
              <w:jc w:val="center"/>
              <w:rPr>
                <w:rFonts w:ascii="Times New Roman" w:hAnsi="Times New Roman" w:eastAsia="仿宋_GB2312" w:cs="Times New Roman"/>
                <w:sz w:val="28"/>
              </w:rPr>
            </w:pPr>
          </w:p>
        </w:tc>
        <w:tc>
          <w:tcPr>
            <w:tcW w:w="3428" w:type="dxa"/>
            <w:tcBorders>
              <w:top w:val="single" w:color="auto" w:sz="4" w:space="0"/>
              <w:left w:val="single" w:color="auto" w:sz="4" w:space="0"/>
              <w:bottom w:val="single" w:color="auto" w:sz="4" w:space="0"/>
              <w:right w:val="single" w:color="auto" w:sz="4" w:space="0"/>
            </w:tcBorders>
          </w:tcPr>
          <w:p>
            <w:pPr>
              <w:spacing w:line="400" w:lineRule="exact"/>
              <w:rPr>
                <w:rFonts w:ascii="Times New Roman" w:hAnsi="Times New Roman" w:eastAsia="仿宋_GB2312" w:cs="Times New Roman"/>
                <w:sz w:val="28"/>
              </w:rPr>
            </w:pPr>
          </w:p>
        </w:tc>
        <w:tc>
          <w:tcPr>
            <w:tcW w:w="2487" w:type="dxa"/>
            <w:tcBorders>
              <w:top w:val="single" w:color="auto" w:sz="4" w:space="0"/>
              <w:left w:val="single" w:color="auto" w:sz="4" w:space="0"/>
              <w:bottom w:val="single" w:color="auto" w:sz="4" w:space="0"/>
              <w:right w:val="single" w:color="auto" w:sz="4" w:space="0"/>
            </w:tcBorders>
          </w:tcPr>
          <w:p>
            <w:pPr>
              <w:spacing w:line="400" w:lineRule="exact"/>
              <w:rPr>
                <w:rFonts w:ascii="Times New Roman" w:hAnsi="Times New Roman" w:eastAsia="仿宋_GB2312" w:cs="Times New Roman"/>
                <w:sz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jc w:val="center"/>
        </w:trPr>
        <w:tc>
          <w:tcPr>
            <w:tcW w:w="1487" w:type="dxa"/>
            <w:tcBorders>
              <w:top w:val="single" w:color="auto" w:sz="4" w:space="0"/>
              <w:left w:val="single" w:color="auto" w:sz="4" w:space="0"/>
              <w:bottom w:val="single" w:color="auto" w:sz="4" w:space="0"/>
              <w:right w:val="single" w:color="auto" w:sz="4" w:space="0"/>
            </w:tcBorders>
          </w:tcPr>
          <w:p>
            <w:pPr>
              <w:spacing w:line="400" w:lineRule="exact"/>
              <w:jc w:val="center"/>
              <w:rPr>
                <w:rFonts w:ascii="Times New Roman" w:hAnsi="Times New Roman" w:eastAsia="仿宋_GB2312" w:cs="Times New Roman"/>
                <w:sz w:val="28"/>
              </w:rPr>
            </w:pPr>
          </w:p>
        </w:tc>
        <w:tc>
          <w:tcPr>
            <w:tcW w:w="1636" w:type="dxa"/>
            <w:tcBorders>
              <w:top w:val="single" w:color="auto" w:sz="4" w:space="0"/>
              <w:left w:val="single" w:color="auto" w:sz="4" w:space="0"/>
              <w:bottom w:val="single" w:color="auto" w:sz="4" w:space="0"/>
              <w:right w:val="single" w:color="auto" w:sz="4" w:space="0"/>
            </w:tcBorders>
          </w:tcPr>
          <w:p>
            <w:pPr>
              <w:spacing w:line="400" w:lineRule="exact"/>
              <w:jc w:val="center"/>
              <w:rPr>
                <w:rFonts w:ascii="Times New Roman" w:hAnsi="Times New Roman" w:eastAsia="仿宋_GB2312" w:cs="Times New Roman"/>
                <w:sz w:val="28"/>
              </w:rPr>
            </w:pPr>
          </w:p>
        </w:tc>
        <w:tc>
          <w:tcPr>
            <w:tcW w:w="3428" w:type="dxa"/>
            <w:tcBorders>
              <w:top w:val="single" w:color="auto" w:sz="4" w:space="0"/>
              <w:left w:val="single" w:color="auto" w:sz="4" w:space="0"/>
              <w:bottom w:val="single" w:color="auto" w:sz="4" w:space="0"/>
              <w:right w:val="single" w:color="auto" w:sz="4" w:space="0"/>
            </w:tcBorders>
          </w:tcPr>
          <w:p>
            <w:pPr>
              <w:spacing w:line="400" w:lineRule="exact"/>
              <w:rPr>
                <w:rFonts w:ascii="Times New Roman" w:hAnsi="Times New Roman" w:eastAsia="仿宋_GB2312" w:cs="Times New Roman"/>
                <w:sz w:val="28"/>
              </w:rPr>
            </w:pPr>
          </w:p>
        </w:tc>
        <w:tc>
          <w:tcPr>
            <w:tcW w:w="2487" w:type="dxa"/>
            <w:tcBorders>
              <w:top w:val="single" w:color="auto" w:sz="4" w:space="0"/>
              <w:left w:val="single" w:color="auto" w:sz="4" w:space="0"/>
              <w:bottom w:val="single" w:color="auto" w:sz="4" w:space="0"/>
              <w:right w:val="single" w:color="auto" w:sz="4" w:space="0"/>
            </w:tcBorders>
          </w:tcPr>
          <w:p>
            <w:pPr>
              <w:spacing w:line="400" w:lineRule="exact"/>
              <w:rPr>
                <w:rFonts w:ascii="Times New Roman" w:hAnsi="Times New Roman" w:eastAsia="仿宋_GB2312" w:cs="Times New Roman"/>
                <w:sz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jc w:val="center"/>
        </w:trPr>
        <w:tc>
          <w:tcPr>
            <w:tcW w:w="1487" w:type="dxa"/>
            <w:tcBorders>
              <w:top w:val="single" w:color="auto" w:sz="4" w:space="0"/>
              <w:left w:val="single" w:color="auto" w:sz="4" w:space="0"/>
              <w:bottom w:val="single" w:color="auto" w:sz="4" w:space="0"/>
              <w:right w:val="single" w:color="auto" w:sz="4" w:space="0"/>
            </w:tcBorders>
          </w:tcPr>
          <w:p>
            <w:pPr>
              <w:spacing w:line="400" w:lineRule="exact"/>
              <w:jc w:val="center"/>
              <w:rPr>
                <w:rFonts w:ascii="Times New Roman" w:hAnsi="Times New Roman" w:eastAsia="仿宋_GB2312" w:cs="Times New Roman"/>
                <w:sz w:val="28"/>
              </w:rPr>
            </w:pPr>
          </w:p>
        </w:tc>
        <w:tc>
          <w:tcPr>
            <w:tcW w:w="1636" w:type="dxa"/>
            <w:tcBorders>
              <w:top w:val="single" w:color="auto" w:sz="4" w:space="0"/>
              <w:left w:val="single" w:color="auto" w:sz="4" w:space="0"/>
              <w:bottom w:val="single" w:color="auto" w:sz="4" w:space="0"/>
              <w:right w:val="single" w:color="auto" w:sz="4" w:space="0"/>
            </w:tcBorders>
          </w:tcPr>
          <w:p>
            <w:pPr>
              <w:spacing w:line="400" w:lineRule="exact"/>
              <w:jc w:val="center"/>
              <w:rPr>
                <w:rFonts w:ascii="Times New Roman" w:hAnsi="Times New Roman" w:eastAsia="仿宋_GB2312" w:cs="Times New Roman"/>
                <w:sz w:val="28"/>
              </w:rPr>
            </w:pPr>
          </w:p>
        </w:tc>
        <w:tc>
          <w:tcPr>
            <w:tcW w:w="3428" w:type="dxa"/>
            <w:tcBorders>
              <w:top w:val="single" w:color="auto" w:sz="4" w:space="0"/>
              <w:left w:val="single" w:color="auto" w:sz="4" w:space="0"/>
              <w:bottom w:val="single" w:color="auto" w:sz="4" w:space="0"/>
              <w:right w:val="single" w:color="auto" w:sz="4" w:space="0"/>
            </w:tcBorders>
          </w:tcPr>
          <w:p>
            <w:pPr>
              <w:spacing w:line="400" w:lineRule="exact"/>
              <w:rPr>
                <w:rFonts w:ascii="Times New Roman" w:hAnsi="Times New Roman" w:eastAsia="仿宋_GB2312" w:cs="Times New Roman"/>
                <w:sz w:val="28"/>
              </w:rPr>
            </w:pPr>
          </w:p>
        </w:tc>
        <w:tc>
          <w:tcPr>
            <w:tcW w:w="2487" w:type="dxa"/>
            <w:tcBorders>
              <w:top w:val="single" w:color="auto" w:sz="4" w:space="0"/>
              <w:left w:val="single" w:color="auto" w:sz="4" w:space="0"/>
              <w:bottom w:val="single" w:color="auto" w:sz="4" w:space="0"/>
              <w:right w:val="single" w:color="auto" w:sz="4" w:space="0"/>
            </w:tcBorders>
          </w:tcPr>
          <w:p>
            <w:pPr>
              <w:spacing w:line="400" w:lineRule="exact"/>
              <w:rPr>
                <w:rFonts w:ascii="Times New Roman" w:hAnsi="Times New Roman" w:eastAsia="仿宋_GB2312" w:cs="Times New Roman"/>
                <w:sz w:val="28"/>
              </w:rPr>
            </w:pPr>
          </w:p>
        </w:tc>
      </w:tr>
    </w:tbl>
    <w:p>
      <w:pPr>
        <w:widowControl/>
        <w:jc w:val="left"/>
        <w:rPr>
          <w:rFonts w:ascii="Times New Roman" w:hAnsi="Times New Roman" w:eastAsia="黑体" w:cs="Times New Roman"/>
          <w:sz w:val="30"/>
          <w:szCs w:val="30"/>
        </w:rPr>
      </w:pPr>
      <w:r>
        <w:rPr>
          <w:rFonts w:ascii="Times New Roman" w:hAnsi="Times New Roman" w:eastAsia="黑体" w:cs="Times New Roman"/>
          <w:sz w:val="30"/>
          <w:szCs w:val="30"/>
        </w:rPr>
        <w:t>六、获重大人才培养奖励计划、基金资助项目情况</w:t>
      </w:r>
    </w:p>
    <w:tbl>
      <w:tblPr>
        <w:tblStyle w:val="9"/>
        <w:tblW w:w="9038"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1550"/>
        <w:gridCol w:w="1584"/>
        <w:gridCol w:w="5904"/>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jc w:val="center"/>
        </w:trPr>
        <w:tc>
          <w:tcPr>
            <w:tcW w:w="15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仿宋_GB2312" w:cs="Times New Roman"/>
                <w:sz w:val="28"/>
              </w:rPr>
            </w:pPr>
            <w:r>
              <w:rPr>
                <w:rFonts w:ascii="Times New Roman" w:hAnsi="Times New Roman" w:eastAsia="仿宋_GB2312" w:cs="Times New Roman"/>
                <w:sz w:val="28"/>
              </w:rPr>
              <w:t>序号</w:t>
            </w:r>
          </w:p>
        </w:tc>
        <w:tc>
          <w:tcPr>
            <w:tcW w:w="1584" w:type="dxa"/>
            <w:tcBorders>
              <w:top w:val="single" w:color="auto" w:sz="4" w:space="0"/>
              <w:bottom w:val="single" w:color="auto" w:sz="4" w:space="0"/>
              <w:right w:val="single" w:color="auto" w:sz="4" w:space="0"/>
            </w:tcBorders>
            <w:vAlign w:val="center"/>
          </w:tcPr>
          <w:p>
            <w:pPr>
              <w:spacing w:line="400" w:lineRule="exact"/>
              <w:jc w:val="center"/>
              <w:rPr>
                <w:rFonts w:ascii="Times New Roman" w:hAnsi="Times New Roman" w:eastAsia="仿宋_GB2312" w:cs="Times New Roman"/>
                <w:sz w:val="28"/>
              </w:rPr>
            </w:pPr>
            <w:r>
              <w:rPr>
                <w:rFonts w:ascii="Times New Roman" w:hAnsi="Times New Roman" w:eastAsia="仿宋_GB2312" w:cs="Times New Roman"/>
                <w:sz w:val="28"/>
              </w:rPr>
              <w:t>年度</w:t>
            </w:r>
          </w:p>
        </w:tc>
        <w:tc>
          <w:tcPr>
            <w:tcW w:w="5904" w:type="dxa"/>
            <w:tcBorders>
              <w:top w:val="single" w:color="auto" w:sz="4" w:space="0"/>
              <w:left w:val="single" w:color="auto" w:sz="4" w:space="0"/>
              <w:bottom w:val="single" w:color="auto" w:sz="4" w:space="0"/>
              <w:right w:val="single" w:color="auto" w:sz="4" w:space="0"/>
            </w:tcBorders>
            <w:vAlign w:val="center"/>
          </w:tcPr>
          <w:p>
            <w:pPr>
              <w:tabs>
                <w:tab w:val="left" w:pos="1328"/>
              </w:tabs>
              <w:spacing w:line="400" w:lineRule="exact"/>
              <w:jc w:val="center"/>
              <w:rPr>
                <w:rFonts w:ascii="Times New Roman" w:hAnsi="Times New Roman" w:eastAsia="仿宋_GB2312" w:cs="Times New Roman"/>
                <w:sz w:val="28"/>
              </w:rPr>
            </w:pPr>
            <w:r>
              <w:rPr>
                <w:rFonts w:ascii="Times New Roman" w:hAnsi="Times New Roman" w:eastAsia="仿宋_GB2312" w:cs="Times New Roman"/>
                <w:sz w:val="28"/>
              </w:rPr>
              <w:t>项目名称</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jc w:val="center"/>
        </w:trPr>
        <w:tc>
          <w:tcPr>
            <w:tcW w:w="15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cs="Times New Roman"/>
                <w:sz w:val="24"/>
              </w:rPr>
            </w:pPr>
            <w:r>
              <w:rPr>
                <w:rFonts w:hint="eastAsia" w:ascii="Times New Roman" w:hAnsi="Times New Roman" w:cs="Times New Roman"/>
                <w:sz w:val="24"/>
              </w:rPr>
              <w:t>1</w:t>
            </w:r>
          </w:p>
        </w:tc>
        <w:tc>
          <w:tcPr>
            <w:tcW w:w="1584" w:type="dxa"/>
            <w:tcBorders>
              <w:top w:val="single" w:color="auto" w:sz="4" w:space="0"/>
              <w:bottom w:val="single" w:color="auto" w:sz="4" w:space="0"/>
              <w:right w:val="single" w:color="auto" w:sz="4" w:space="0"/>
            </w:tcBorders>
            <w:vAlign w:val="center"/>
          </w:tcPr>
          <w:p>
            <w:pPr>
              <w:spacing w:line="400" w:lineRule="exact"/>
              <w:jc w:val="center"/>
              <w:rPr>
                <w:rFonts w:ascii="Times New Roman" w:hAnsi="Times New Roman" w:eastAsia="仿宋_GB2312" w:cs="Times New Roman"/>
                <w:sz w:val="28"/>
              </w:rPr>
            </w:pPr>
            <w:r>
              <w:rPr>
                <w:rFonts w:ascii="Times New Roman" w:hAnsi="Times New Roman" w:eastAsia="仿宋_GB2312" w:cs="Times New Roman"/>
                <w:sz w:val="28"/>
              </w:rPr>
              <w:t>2017</w:t>
            </w:r>
          </w:p>
        </w:tc>
        <w:tc>
          <w:tcPr>
            <w:tcW w:w="5904" w:type="dxa"/>
            <w:tcBorders>
              <w:top w:val="single" w:color="auto" w:sz="4" w:space="0"/>
              <w:left w:val="single" w:color="auto" w:sz="4" w:space="0"/>
              <w:bottom w:val="single" w:color="auto" w:sz="4" w:space="0"/>
              <w:right w:val="single" w:color="auto" w:sz="4" w:space="0"/>
            </w:tcBorders>
            <w:vAlign w:val="center"/>
          </w:tcPr>
          <w:p>
            <w:pPr>
              <w:tabs>
                <w:tab w:val="left" w:pos="1328"/>
              </w:tabs>
              <w:spacing w:line="400" w:lineRule="exact"/>
              <w:jc w:val="center"/>
              <w:rPr>
                <w:rFonts w:ascii="Times New Roman" w:hAnsi="Times New Roman" w:eastAsia="仿宋_GB2312" w:cs="Times New Roman"/>
                <w:sz w:val="28"/>
              </w:rPr>
            </w:pPr>
            <w:r>
              <w:rPr>
                <w:rFonts w:ascii="Times New Roman" w:hAnsi="Times New Roman" w:eastAsia="仿宋_GB2312" w:cs="Times New Roman"/>
                <w:sz w:val="28"/>
              </w:rPr>
              <w:t>国家自然科学基金面上项目</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jc w:val="center"/>
        </w:trPr>
        <w:tc>
          <w:tcPr>
            <w:tcW w:w="15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cs="Times New Roman"/>
                <w:sz w:val="24"/>
              </w:rPr>
            </w:pPr>
            <w:r>
              <w:rPr>
                <w:rFonts w:hint="eastAsia" w:ascii="Times New Roman" w:hAnsi="Times New Roman" w:cs="Times New Roman"/>
                <w:sz w:val="24"/>
              </w:rPr>
              <w:t>2</w:t>
            </w:r>
          </w:p>
        </w:tc>
        <w:tc>
          <w:tcPr>
            <w:tcW w:w="1584" w:type="dxa"/>
            <w:tcBorders>
              <w:top w:val="single" w:color="auto" w:sz="4" w:space="0"/>
              <w:bottom w:val="single" w:color="auto" w:sz="4" w:space="0"/>
              <w:right w:val="single" w:color="auto" w:sz="4" w:space="0"/>
            </w:tcBorders>
            <w:vAlign w:val="center"/>
          </w:tcPr>
          <w:p>
            <w:pPr>
              <w:spacing w:line="400" w:lineRule="exact"/>
              <w:jc w:val="center"/>
              <w:rPr>
                <w:rFonts w:ascii="Times New Roman" w:hAnsi="Times New Roman" w:eastAsia="仿宋_GB2312" w:cs="Times New Roman"/>
                <w:sz w:val="28"/>
              </w:rPr>
            </w:pPr>
            <w:r>
              <w:rPr>
                <w:rFonts w:ascii="Times New Roman" w:hAnsi="Times New Roman" w:eastAsia="仿宋_GB2312" w:cs="Times New Roman"/>
                <w:sz w:val="28"/>
              </w:rPr>
              <w:t>2015</w:t>
            </w:r>
          </w:p>
        </w:tc>
        <w:tc>
          <w:tcPr>
            <w:tcW w:w="5904" w:type="dxa"/>
            <w:tcBorders>
              <w:top w:val="single" w:color="auto" w:sz="4" w:space="0"/>
              <w:left w:val="single" w:color="auto" w:sz="4" w:space="0"/>
              <w:bottom w:val="single" w:color="auto" w:sz="4" w:space="0"/>
              <w:right w:val="single" w:color="auto" w:sz="4" w:space="0"/>
            </w:tcBorders>
            <w:vAlign w:val="center"/>
          </w:tcPr>
          <w:p>
            <w:pPr>
              <w:tabs>
                <w:tab w:val="left" w:pos="1328"/>
              </w:tabs>
              <w:spacing w:line="400" w:lineRule="exact"/>
              <w:jc w:val="center"/>
              <w:rPr>
                <w:rFonts w:ascii="Times New Roman" w:hAnsi="Times New Roman" w:eastAsia="仿宋_GB2312" w:cs="Times New Roman"/>
                <w:sz w:val="28"/>
              </w:rPr>
            </w:pPr>
            <w:r>
              <w:rPr>
                <w:rFonts w:ascii="Times New Roman" w:hAnsi="Times New Roman" w:eastAsia="仿宋_GB2312" w:cs="Times New Roman"/>
                <w:sz w:val="28"/>
              </w:rPr>
              <w:t>中组部千人计划“青年项目”</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jc w:val="center"/>
        </w:trPr>
        <w:tc>
          <w:tcPr>
            <w:tcW w:w="15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cs="Times New Roman"/>
                <w:sz w:val="24"/>
              </w:rPr>
            </w:pPr>
            <w:r>
              <w:rPr>
                <w:rFonts w:hint="eastAsia" w:ascii="Times New Roman" w:hAnsi="Times New Roman" w:cs="Times New Roman"/>
                <w:sz w:val="24"/>
              </w:rPr>
              <w:t>3</w:t>
            </w:r>
          </w:p>
        </w:tc>
        <w:tc>
          <w:tcPr>
            <w:tcW w:w="1584" w:type="dxa"/>
            <w:tcBorders>
              <w:top w:val="single" w:color="auto" w:sz="4" w:space="0"/>
              <w:bottom w:val="single" w:color="auto" w:sz="4" w:space="0"/>
              <w:right w:val="single" w:color="auto" w:sz="4" w:space="0"/>
            </w:tcBorders>
            <w:vAlign w:val="center"/>
          </w:tcPr>
          <w:p>
            <w:pPr>
              <w:spacing w:line="400" w:lineRule="exact"/>
              <w:jc w:val="center"/>
              <w:rPr>
                <w:rFonts w:ascii="Times New Roman" w:hAnsi="Times New Roman" w:eastAsia="仿宋_GB2312" w:cs="Times New Roman"/>
                <w:sz w:val="28"/>
              </w:rPr>
            </w:pPr>
            <w:r>
              <w:rPr>
                <w:rFonts w:ascii="Times New Roman" w:hAnsi="Times New Roman" w:eastAsia="仿宋_GB2312" w:cs="Times New Roman"/>
                <w:sz w:val="28"/>
              </w:rPr>
              <w:t>2015</w:t>
            </w:r>
          </w:p>
        </w:tc>
        <w:tc>
          <w:tcPr>
            <w:tcW w:w="5904" w:type="dxa"/>
            <w:tcBorders>
              <w:top w:val="single" w:color="auto" w:sz="4" w:space="0"/>
              <w:left w:val="single" w:color="auto" w:sz="4" w:space="0"/>
              <w:bottom w:val="single" w:color="auto" w:sz="4" w:space="0"/>
              <w:right w:val="single" w:color="auto" w:sz="4" w:space="0"/>
            </w:tcBorders>
            <w:vAlign w:val="center"/>
          </w:tcPr>
          <w:p>
            <w:pPr>
              <w:tabs>
                <w:tab w:val="left" w:pos="1328"/>
              </w:tabs>
              <w:spacing w:line="400" w:lineRule="exact"/>
              <w:jc w:val="center"/>
              <w:rPr>
                <w:rFonts w:ascii="Times New Roman" w:hAnsi="Times New Roman" w:eastAsia="仿宋_GB2312" w:cs="Times New Roman"/>
                <w:sz w:val="28"/>
              </w:rPr>
            </w:pPr>
            <w:r>
              <w:rPr>
                <w:rFonts w:ascii="Times New Roman" w:hAnsi="Times New Roman" w:eastAsia="仿宋_GB2312" w:cs="Times New Roman"/>
                <w:sz w:val="28"/>
              </w:rPr>
              <w:t>福建省省引才百人计划</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jc w:val="center"/>
        </w:trPr>
        <w:tc>
          <w:tcPr>
            <w:tcW w:w="15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cs="Times New Roman"/>
                <w:sz w:val="24"/>
              </w:rPr>
            </w:pPr>
            <w:r>
              <w:rPr>
                <w:rFonts w:hint="eastAsia" w:ascii="Times New Roman" w:hAnsi="Times New Roman" w:cs="Times New Roman"/>
                <w:sz w:val="24"/>
              </w:rPr>
              <w:t>4</w:t>
            </w:r>
          </w:p>
        </w:tc>
        <w:tc>
          <w:tcPr>
            <w:tcW w:w="1584" w:type="dxa"/>
            <w:tcBorders>
              <w:top w:val="single" w:color="auto" w:sz="4" w:space="0"/>
              <w:bottom w:val="single" w:color="auto" w:sz="4" w:space="0"/>
              <w:right w:val="single" w:color="auto" w:sz="4" w:space="0"/>
            </w:tcBorders>
            <w:vAlign w:val="center"/>
          </w:tcPr>
          <w:p>
            <w:pPr>
              <w:spacing w:line="400" w:lineRule="exact"/>
              <w:jc w:val="center"/>
              <w:rPr>
                <w:rFonts w:ascii="Times New Roman" w:hAnsi="Times New Roman" w:eastAsia="仿宋_GB2312" w:cs="Times New Roman"/>
                <w:sz w:val="28"/>
              </w:rPr>
            </w:pPr>
            <w:r>
              <w:rPr>
                <w:rFonts w:ascii="Times New Roman" w:hAnsi="Times New Roman" w:eastAsia="仿宋_GB2312" w:cs="Times New Roman"/>
                <w:sz w:val="28"/>
              </w:rPr>
              <w:t>2014</w:t>
            </w:r>
          </w:p>
        </w:tc>
        <w:tc>
          <w:tcPr>
            <w:tcW w:w="5904" w:type="dxa"/>
            <w:tcBorders>
              <w:top w:val="single" w:color="auto" w:sz="4" w:space="0"/>
              <w:left w:val="single" w:color="auto" w:sz="4" w:space="0"/>
              <w:bottom w:val="single" w:color="auto" w:sz="4" w:space="0"/>
              <w:right w:val="single" w:color="auto" w:sz="4" w:space="0"/>
            </w:tcBorders>
            <w:vAlign w:val="center"/>
          </w:tcPr>
          <w:p>
            <w:pPr>
              <w:tabs>
                <w:tab w:val="left" w:pos="1328"/>
              </w:tabs>
              <w:spacing w:line="400" w:lineRule="exact"/>
              <w:jc w:val="center"/>
              <w:rPr>
                <w:rFonts w:ascii="Times New Roman" w:hAnsi="Times New Roman" w:eastAsia="仿宋_GB2312" w:cs="Times New Roman"/>
                <w:sz w:val="28"/>
              </w:rPr>
            </w:pPr>
            <w:r>
              <w:rPr>
                <w:rFonts w:ascii="Times New Roman" w:hAnsi="Times New Roman" w:eastAsia="仿宋_GB2312" w:cs="Times New Roman"/>
                <w:sz w:val="28"/>
              </w:rPr>
              <w:t>福建省闽江学者奖励计划</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jc w:val="center"/>
        </w:trPr>
        <w:tc>
          <w:tcPr>
            <w:tcW w:w="15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cs="Times New Roman"/>
                <w:b/>
                <w:sz w:val="24"/>
              </w:rPr>
            </w:pPr>
          </w:p>
        </w:tc>
        <w:tc>
          <w:tcPr>
            <w:tcW w:w="1584" w:type="dxa"/>
            <w:tcBorders>
              <w:top w:val="single" w:color="auto" w:sz="4" w:space="0"/>
              <w:bottom w:val="single" w:color="auto" w:sz="4" w:space="0"/>
              <w:right w:val="single" w:color="auto" w:sz="4" w:space="0"/>
            </w:tcBorders>
            <w:vAlign w:val="center"/>
          </w:tcPr>
          <w:p>
            <w:pPr>
              <w:spacing w:line="400" w:lineRule="exact"/>
              <w:jc w:val="center"/>
              <w:rPr>
                <w:rFonts w:ascii="Times New Roman" w:hAnsi="Times New Roman" w:eastAsia="仿宋_GB2312" w:cs="Times New Roman"/>
                <w:sz w:val="28"/>
              </w:rPr>
            </w:pPr>
          </w:p>
        </w:tc>
        <w:tc>
          <w:tcPr>
            <w:tcW w:w="5904" w:type="dxa"/>
            <w:tcBorders>
              <w:top w:val="single" w:color="auto" w:sz="4" w:space="0"/>
              <w:left w:val="single" w:color="auto" w:sz="4" w:space="0"/>
              <w:bottom w:val="single" w:color="auto" w:sz="4" w:space="0"/>
              <w:right w:val="single" w:color="auto" w:sz="4" w:space="0"/>
            </w:tcBorders>
            <w:vAlign w:val="center"/>
          </w:tcPr>
          <w:p>
            <w:pPr>
              <w:tabs>
                <w:tab w:val="left" w:pos="1328"/>
              </w:tabs>
              <w:spacing w:line="400" w:lineRule="exact"/>
              <w:jc w:val="center"/>
              <w:rPr>
                <w:rFonts w:ascii="Times New Roman" w:hAnsi="Times New Roman" w:eastAsia="仿宋_GB2312" w:cs="Times New Roman"/>
                <w:sz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jc w:val="center"/>
        </w:trPr>
        <w:tc>
          <w:tcPr>
            <w:tcW w:w="15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p>
        </w:tc>
        <w:tc>
          <w:tcPr>
            <w:tcW w:w="1584" w:type="dxa"/>
            <w:tcBorders>
              <w:top w:val="single" w:color="auto" w:sz="4" w:space="0"/>
              <w:bottom w:val="single" w:color="auto" w:sz="4" w:space="0"/>
              <w:right w:val="single" w:color="auto" w:sz="4" w:space="0"/>
            </w:tcBorders>
            <w:vAlign w:val="center"/>
          </w:tcPr>
          <w:p>
            <w:pPr>
              <w:spacing w:line="400" w:lineRule="exact"/>
              <w:jc w:val="center"/>
              <w:rPr>
                <w:rFonts w:ascii="宋体" w:hAnsi="宋体"/>
                <w:b/>
                <w:sz w:val="24"/>
              </w:rPr>
            </w:pPr>
          </w:p>
        </w:tc>
        <w:tc>
          <w:tcPr>
            <w:tcW w:w="5904" w:type="dxa"/>
            <w:tcBorders>
              <w:top w:val="single" w:color="auto" w:sz="4" w:space="0"/>
              <w:left w:val="single" w:color="auto" w:sz="4" w:space="0"/>
              <w:bottom w:val="single" w:color="auto" w:sz="4" w:space="0"/>
              <w:right w:val="single" w:color="auto" w:sz="4" w:space="0"/>
            </w:tcBorders>
            <w:vAlign w:val="center"/>
          </w:tcPr>
          <w:p>
            <w:pPr>
              <w:tabs>
                <w:tab w:val="left" w:pos="1328"/>
              </w:tabs>
              <w:spacing w:line="400" w:lineRule="exact"/>
              <w:jc w:val="center"/>
              <w:rPr>
                <w:rFonts w:ascii="宋体" w:hAnsi="宋体"/>
                <w:b/>
                <w:sz w:val="24"/>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jc w:val="center"/>
        </w:trPr>
        <w:tc>
          <w:tcPr>
            <w:tcW w:w="15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p>
        </w:tc>
        <w:tc>
          <w:tcPr>
            <w:tcW w:w="1584" w:type="dxa"/>
            <w:tcBorders>
              <w:top w:val="single" w:color="auto" w:sz="4" w:space="0"/>
              <w:bottom w:val="single" w:color="auto" w:sz="4" w:space="0"/>
              <w:right w:val="single" w:color="auto" w:sz="4" w:space="0"/>
            </w:tcBorders>
            <w:vAlign w:val="center"/>
          </w:tcPr>
          <w:p>
            <w:pPr>
              <w:spacing w:line="400" w:lineRule="exact"/>
              <w:jc w:val="center"/>
              <w:rPr>
                <w:rFonts w:ascii="宋体" w:hAnsi="宋体"/>
                <w:b/>
                <w:sz w:val="24"/>
              </w:rPr>
            </w:pPr>
          </w:p>
        </w:tc>
        <w:tc>
          <w:tcPr>
            <w:tcW w:w="5904" w:type="dxa"/>
            <w:tcBorders>
              <w:top w:val="single" w:color="auto" w:sz="4" w:space="0"/>
              <w:left w:val="single" w:color="auto" w:sz="4" w:space="0"/>
              <w:bottom w:val="single" w:color="auto" w:sz="4" w:space="0"/>
              <w:right w:val="single" w:color="auto" w:sz="4" w:space="0"/>
            </w:tcBorders>
            <w:vAlign w:val="center"/>
          </w:tcPr>
          <w:p>
            <w:pPr>
              <w:tabs>
                <w:tab w:val="left" w:pos="1328"/>
              </w:tabs>
              <w:spacing w:line="400" w:lineRule="exact"/>
              <w:jc w:val="center"/>
              <w:rPr>
                <w:rFonts w:ascii="宋体" w:hAnsi="宋体"/>
                <w:b/>
                <w:sz w:val="24"/>
              </w:rPr>
            </w:pPr>
          </w:p>
        </w:tc>
      </w:tr>
    </w:tbl>
    <w:p>
      <w:pPr>
        <w:widowControl/>
        <w:jc w:val="left"/>
        <w:rPr>
          <w:rFonts w:ascii="宋体" w:hAnsi="宋体" w:eastAsia="黑体"/>
          <w:sz w:val="30"/>
          <w:szCs w:val="30"/>
        </w:rPr>
      </w:pPr>
    </w:p>
    <w:p>
      <w:pPr>
        <w:widowControl/>
        <w:jc w:val="left"/>
        <w:rPr>
          <w:rFonts w:ascii="宋体" w:hAnsi="宋体"/>
        </w:rPr>
      </w:pPr>
      <w:r>
        <w:rPr>
          <w:rFonts w:hint="eastAsia" w:ascii="宋体" w:hAnsi="宋体" w:eastAsia="黑体"/>
          <w:sz w:val="30"/>
          <w:szCs w:val="30"/>
        </w:rPr>
        <w:t>七、主要科学技术成就和贡献</w:t>
      </w:r>
    </w:p>
    <w:tbl>
      <w:tblPr>
        <w:tblStyle w:val="9"/>
        <w:tblW w:w="9038"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9038"/>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12834" w:hRule="atLeast"/>
          <w:jc w:val="center"/>
        </w:trPr>
        <w:tc>
          <w:tcPr>
            <w:tcW w:w="9038" w:type="dxa"/>
            <w:tcBorders>
              <w:top w:val="single" w:color="auto" w:sz="4" w:space="0"/>
              <w:left w:val="single" w:color="auto" w:sz="4" w:space="0"/>
              <w:bottom w:val="single" w:color="auto" w:sz="4" w:space="0"/>
              <w:right w:val="single" w:color="auto" w:sz="4" w:space="0"/>
            </w:tcBorders>
          </w:tcPr>
          <w:p>
            <w:pPr>
              <w:pStyle w:val="2"/>
              <w:spacing w:line="390" w:lineRule="exact"/>
              <w:ind w:firstLine="428"/>
              <w:rPr>
                <w:rFonts w:hAnsi="宋体"/>
                <w:spacing w:val="2"/>
              </w:rPr>
            </w:pPr>
            <w:r>
              <w:rPr>
                <w:rFonts w:hint="eastAsia" w:hAnsi="宋体"/>
                <w:spacing w:val="2"/>
              </w:rPr>
              <w:t>本栏目是评价被推荐人的重要依据。应详实、准确、客观地填写被推荐人从开始工作起至今为止，在学科发展、推动行业技术进步、科技成果应用或技术推广等方面作出的贡献。</w:t>
            </w:r>
          </w:p>
          <w:p>
            <w:pPr>
              <w:spacing w:beforeLines="50" w:line="360" w:lineRule="auto"/>
              <w:ind w:firstLine="480" w:firstLineChars="200"/>
              <w:rPr>
                <w:rFonts w:ascii="Times New Roman" w:hAnsi="Times New Roman" w:cs="Times New Roman"/>
                <w:sz w:val="24"/>
              </w:rPr>
            </w:pPr>
            <w:r>
              <w:rPr>
                <w:rFonts w:ascii="Times New Roman" w:hAnsi="Times New Roman" w:cs="Times New Roman"/>
                <w:sz w:val="24"/>
              </w:rPr>
              <w:t>被推荐人围绕与人类健康、食品、环境安全等密切相关的课题，以及生命科学中测试新技术与新方法的核心科学问题，结合生命科学研究、临床诊断、食品安全等需要，以解决制约生命科学研究发展的基础理论问题和关键技术瓶颈为突破口，开展生命分析测试方法、理论和新技术研究，将分析化学与生物化学、材料化学等多学科有机结合，开展生物传感、免疫与基因分析新方法等方面的研究，解决生命科学中的重大测试问题，将实现重大疾病诊断的实时、快速、灵敏、价廉、方便等目标。</w:t>
            </w:r>
          </w:p>
          <w:p>
            <w:pPr>
              <w:spacing w:line="372" w:lineRule="auto"/>
              <w:ind w:firstLine="480" w:firstLineChars="200"/>
              <w:rPr>
                <w:rFonts w:ascii="Times New Roman" w:hAnsi="Times New Roman" w:cs="Times New Roman"/>
                <w:sz w:val="24"/>
              </w:rPr>
            </w:pPr>
            <w:r>
              <w:rPr>
                <w:rFonts w:ascii="Times New Roman" w:hAnsi="Times New Roman" w:cs="Times New Roman"/>
                <w:sz w:val="24"/>
              </w:rPr>
              <w:t>基于此，被推荐人在</w:t>
            </w:r>
            <w:r>
              <w:rPr>
                <w:rFonts w:hint="eastAsia" w:ascii="Times New Roman" w:hAnsi="Times New Roman" w:cs="Times New Roman"/>
                <w:sz w:val="24"/>
              </w:rPr>
              <w:t>纳米分子影像探针，纳米生物传感新技术，DNA超分子纳米结构和纳米机器等</w:t>
            </w:r>
            <w:r>
              <w:rPr>
                <w:rFonts w:ascii="Times New Roman" w:hAnsi="Times New Roman" w:cs="Times New Roman"/>
                <w:sz w:val="24"/>
              </w:rPr>
              <w:t>方面，进行了较为系统的研究，积累了丰富的经验，取得了一系列突破性进展和原创性成果。这些进展和成果包括：国际上首次建立了基于石墨烯的光学生物传感方法并证明了石墨烯作为核酸药物载体的可能性</w:t>
            </w:r>
            <w:r>
              <w:rPr>
                <w:rFonts w:hint="eastAsia" w:ascii="Times New Roman" w:hAnsi="Times New Roman" w:cs="Times New Roman"/>
                <w:sz w:val="24"/>
              </w:rPr>
              <w:t>；</w:t>
            </w:r>
            <w:r>
              <w:rPr>
                <w:rFonts w:ascii="Times New Roman" w:hAnsi="Times New Roman" w:cs="Times New Roman"/>
                <w:sz w:val="24"/>
              </w:rPr>
              <w:t>率先制备了可控催化性以及环境刺激双功能化及记忆型DNA水凝胶</w:t>
            </w:r>
            <w:r>
              <w:rPr>
                <w:rFonts w:hint="eastAsia" w:ascii="Times New Roman" w:hAnsi="Times New Roman" w:cs="Times New Roman"/>
                <w:sz w:val="24"/>
              </w:rPr>
              <w:t>；</w:t>
            </w:r>
            <w:r>
              <w:rPr>
                <w:rFonts w:ascii="Times New Roman" w:hAnsi="Times New Roman" w:cs="Times New Roman"/>
                <w:sz w:val="24"/>
              </w:rPr>
              <w:t>率先实现了超分子DNA连环（Catenane）纳米结构的制备</w:t>
            </w:r>
            <w:r>
              <w:rPr>
                <w:rFonts w:hint="eastAsia" w:ascii="Times New Roman" w:hAnsi="Times New Roman" w:cs="Times New Roman"/>
                <w:sz w:val="24"/>
              </w:rPr>
              <w:t>等</w:t>
            </w:r>
            <w:r>
              <w:rPr>
                <w:rFonts w:ascii="Times New Roman" w:hAnsi="Times New Roman" w:cs="Times New Roman"/>
                <w:sz w:val="24"/>
              </w:rPr>
              <w:t xml:space="preserve">。 </w:t>
            </w:r>
          </w:p>
          <w:p>
            <w:pPr>
              <w:spacing w:line="372" w:lineRule="auto"/>
              <w:ind w:firstLine="480" w:firstLineChars="200"/>
              <w:rPr>
                <w:rFonts w:ascii="Times New Roman" w:hAnsi="Times New Roman" w:cs="Times New Roman"/>
                <w:sz w:val="24"/>
              </w:rPr>
            </w:pPr>
            <w:r>
              <w:rPr>
                <w:rFonts w:ascii="Times New Roman" w:hAnsi="Times New Roman" w:cs="Times New Roman"/>
                <w:sz w:val="24"/>
              </w:rPr>
              <w:t>被推荐人近年来在相关领域发表了多篇相关论文，研究工作受到国际同行认可。已在相关领域累计发表SCI论文50</w:t>
            </w:r>
            <w:r>
              <w:rPr>
                <w:rFonts w:hint="eastAsia" w:ascii="Times New Roman" w:hAnsi="Times New Roman" w:cs="Times New Roman"/>
                <w:sz w:val="24"/>
              </w:rPr>
              <w:t>余</w:t>
            </w:r>
            <w:r>
              <w:rPr>
                <w:rFonts w:ascii="Times New Roman" w:hAnsi="Times New Roman" w:cs="Times New Roman"/>
                <w:sz w:val="24"/>
              </w:rPr>
              <w:t>篇，论文包括</w:t>
            </w:r>
            <w:r>
              <w:rPr>
                <w:rFonts w:ascii="Times New Roman" w:hAnsi="Times New Roman" w:cs="Times New Roman"/>
                <w:b/>
                <w:i/>
                <w:sz w:val="24"/>
              </w:rPr>
              <w:t>Chem. Rev.</w:t>
            </w:r>
            <w:r>
              <w:rPr>
                <w:rFonts w:ascii="Times New Roman" w:hAnsi="Times New Roman" w:cs="Times New Roman"/>
                <w:sz w:val="24"/>
              </w:rPr>
              <w:t xml:space="preserve">; </w:t>
            </w:r>
            <w:r>
              <w:rPr>
                <w:rFonts w:ascii="Times New Roman" w:hAnsi="Times New Roman" w:cs="Times New Roman"/>
                <w:b/>
                <w:i/>
                <w:sz w:val="24"/>
              </w:rPr>
              <w:t>Acc. Chem. Res.</w:t>
            </w:r>
            <w:r>
              <w:rPr>
                <w:rFonts w:ascii="Times New Roman" w:hAnsi="Times New Roman" w:cs="Times New Roman"/>
                <w:sz w:val="24"/>
              </w:rPr>
              <w:t xml:space="preserve">; </w:t>
            </w:r>
            <w:r>
              <w:rPr>
                <w:rFonts w:ascii="Times New Roman" w:hAnsi="Times New Roman" w:cs="Times New Roman"/>
                <w:b/>
                <w:i/>
                <w:sz w:val="24"/>
              </w:rPr>
              <w:t>Angew. Chem. Int. Ed.</w:t>
            </w:r>
            <w:r>
              <w:rPr>
                <w:rFonts w:ascii="Times New Roman" w:hAnsi="Times New Roman" w:cs="Times New Roman"/>
                <w:sz w:val="24"/>
              </w:rPr>
              <w:t xml:space="preserve">(5篇); </w:t>
            </w:r>
            <w:r>
              <w:rPr>
                <w:rFonts w:ascii="Times New Roman" w:hAnsi="Times New Roman" w:cs="Times New Roman"/>
                <w:b/>
                <w:i/>
                <w:sz w:val="24"/>
              </w:rPr>
              <w:t>J. Am. Chem. Soc.</w:t>
            </w:r>
            <w:r>
              <w:rPr>
                <w:rFonts w:ascii="Times New Roman" w:hAnsi="Times New Roman" w:cs="Times New Roman"/>
                <w:sz w:val="24"/>
              </w:rPr>
              <w:t xml:space="preserve">(5篇); </w:t>
            </w:r>
            <w:r>
              <w:rPr>
                <w:rFonts w:ascii="Times New Roman" w:hAnsi="Times New Roman" w:cs="Times New Roman"/>
                <w:b/>
                <w:i/>
                <w:sz w:val="24"/>
              </w:rPr>
              <w:t>Nano Lett.</w:t>
            </w:r>
            <w:r>
              <w:rPr>
                <w:rFonts w:ascii="Times New Roman" w:hAnsi="Times New Roman" w:cs="Times New Roman"/>
                <w:sz w:val="24"/>
              </w:rPr>
              <w:t xml:space="preserve">(5篇); </w:t>
            </w:r>
            <w:r>
              <w:rPr>
                <w:rFonts w:ascii="Times New Roman" w:hAnsi="Times New Roman" w:cs="Times New Roman"/>
                <w:b/>
                <w:i/>
                <w:sz w:val="24"/>
              </w:rPr>
              <w:t>Adv. Mater.</w:t>
            </w:r>
            <w:r>
              <w:rPr>
                <w:rFonts w:ascii="Times New Roman" w:hAnsi="Times New Roman" w:cs="Times New Roman"/>
                <w:sz w:val="24"/>
              </w:rPr>
              <w:t xml:space="preserve">; </w:t>
            </w:r>
            <w:r>
              <w:rPr>
                <w:rFonts w:ascii="Times New Roman" w:hAnsi="Times New Roman" w:cs="Times New Roman"/>
                <w:b/>
                <w:i/>
                <w:sz w:val="24"/>
              </w:rPr>
              <w:t>Adv. Funct. Mater.</w:t>
            </w:r>
            <w:r>
              <w:rPr>
                <w:rFonts w:ascii="Times New Roman" w:hAnsi="Times New Roman" w:cs="Times New Roman"/>
                <w:sz w:val="24"/>
              </w:rPr>
              <w:t xml:space="preserve">; </w:t>
            </w:r>
            <w:r>
              <w:rPr>
                <w:rFonts w:ascii="Times New Roman" w:hAnsi="Times New Roman" w:cs="Times New Roman"/>
                <w:b/>
                <w:i/>
                <w:sz w:val="24"/>
              </w:rPr>
              <w:t>Theranostics</w:t>
            </w:r>
            <w:r>
              <w:rPr>
                <w:rFonts w:ascii="Times New Roman" w:hAnsi="Times New Roman" w:cs="Times New Roman"/>
                <w:sz w:val="24"/>
              </w:rPr>
              <w:t xml:space="preserve">; </w:t>
            </w:r>
            <w:r>
              <w:rPr>
                <w:rFonts w:ascii="Times New Roman" w:hAnsi="Times New Roman" w:cs="Times New Roman"/>
                <w:b/>
                <w:i/>
                <w:sz w:val="24"/>
              </w:rPr>
              <w:t>ACS Nano</w:t>
            </w:r>
            <w:r>
              <w:rPr>
                <w:rFonts w:ascii="Times New Roman" w:hAnsi="Times New Roman" w:cs="Times New Roman"/>
                <w:sz w:val="24"/>
              </w:rPr>
              <w:t xml:space="preserve">; </w:t>
            </w:r>
            <w:r>
              <w:rPr>
                <w:rFonts w:ascii="Times New Roman" w:hAnsi="Times New Roman" w:cs="Times New Roman"/>
                <w:b/>
                <w:i/>
                <w:sz w:val="24"/>
              </w:rPr>
              <w:t>Small</w:t>
            </w:r>
            <w:r>
              <w:rPr>
                <w:rFonts w:ascii="Times New Roman" w:hAnsi="Times New Roman" w:cs="Times New Roman"/>
                <w:sz w:val="24"/>
              </w:rPr>
              <w:t xml:space="preserve">; </w:t>
            </w:r>
            <w:r>
              <w:rPr>
                <w:rFonts w:ascii="Times New Roman" w:hAnsi="Times New Roman" w:cs="Times New Roman"/>
                <w:b/>
                <w:i/>
                <w:sz w:val="24"/>
              </w:rPr>
              <w:t>Anal. Chem.</w:t>
            </w:r>
            <w:r>
              <w:rPr>
                <w:rFonts w:ascii="Times New Roman" w:hAnsi="Times New Roman" w:cs="Times New Roman"/>
                <w:sz w:val="24"/>
              </w:rPr>
              <w:t>(3篇)等。发表研究论文总共被引用3893次，其中他引3765次，篇均</w:t>
            </w:r>
            <w:r>
              <w:rPr>
                <w:rFonts w:hint="eastAsia" w:ascii="Times New Roman" w:hAnsi="Times New Roman" w:cs="Times New Roman"/>
                <w:sz w:val="24"/>
              </w:rPr>
              <w:t>被</w:t>
            </w:r>
            <w:r>
              <w:rPr>
                <w:rFonts w:ascii="Times New Roman" w:hAnsi="Times New Roman" w:cs="Times New Roman"/>
                <w:sz w:val="24"/>
              </w:rPr>
              <w:t>引超过67次，最高单篇</w:t>
            </w:r>
            <w:r>
              <w:rPr>
                <w:rFonts w:hint="eastAsia" w:ascii="Times New Roman" w:hAnsi="Times New Roman" w:cs="Times New Roman"/>
                <w:sz w:val="24"/>
              </w:rPr>
              <w:t>被</w:t>
            </w:r>
            <w:r>
              <w:rPr>
                <w:rFonts w:ascii="Times New Roman" w:hAnsi="Times New Roman" w:cs="Times New Roman"/>
                <w:sz w:val="24"/>
              </w:rPr>
              <w:t>引1264次，H-index为28。第一作者发表论文“</w:t>
            </w:r>
            <w:r>
              <w:rPr>
                <w:rFonts w:ascii="Times New Roman" w:hAnsi="Times New Roman" w:cs="Times New Roman"/>
                <w:b/>
                <w:i/>
                <w:sz w:val="24"/>
              </w:rPr>
              <w:t>Angew. Chem. Int. Ed.</w:t>
            </w:r>
            <w:r>
              <w:rPr>
                <w:rFonts w:ascii="Times New Roman" w:hAnsi="Times New Roman" w:cs="Times New Roman"/>
                <w:sz w:val="24"/>
              </w:rPr>
              <w:t xml:space="preserve"> 2009, 48, 4785-4787”在2011年被Thomson Reuters的Science Watch（科学观察）评为“The Top Ten lists in Chemistry feature papers”，2013年被列为Wiley杂志社化学类期刊（2009-2012）的中国作者优秀论文第一位，2014年被中国科学院科学前沿分析中心列为“中国化学领域热点论文（2009-2013）”第五位。研究工作多次被Nature China、NPG Asia Materials、ACS Chemical&amp; Engineering News等刊物和网站作为亮点介绍。以下从</w:t>
            </w:r>
            <w:r>
              <w:rPr>
                <w:rFonts w:hint="eastAsia" w:ascii="Times New Roman" w:hAnsi="Times New Roman" w:cs="Times New Roman"/>
                <w:sz w:val="24"/>
              </w:rPr>
              <w:t>纳米分子影像探针、</w:t>
            </w:r>
            <w:r>
              <w:rPr>
                <w:rFonts w:ascii="Times New Roman" w:hAnsi="Times New Roman" w:cs="Times New Roman"/>
                <w:sz w:val="24"/>
              </w:rPr>
              <w:t>DNA超分子纳米结构和纳米机器，功能化纳米材料和生物传感等方面介绍被推荐人的主要研究成果：</w:t>
            </w:r>
          </w:p>
          <w:p>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1. 近红外二区</w:t>
            </w:r>
            <w:r>
              <w:rPr>
                <w:rFonts w:ascii="Times New Roman" w:hAnsi="Times New Roman" w:cs="Times New Roman"/>
                <w:sz w:val="24"/>
              </w:rPr>
              <w:t>响应光热材料的诊疗</w:t>
            </w:r>
            <w:r>
              <w:rPr>
                <w:rFonts w:hint="eastAsia" w:ascii="Times New Roman" w:hAnsi="Times New Roman" w:cs="Times New Roman"/>
                <w:sz w:val="24"/>
              </w:rPr>
              <w:t>一体化研究</w:t>
            </w:r>
          </w:p>
          <w:p>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利用简单、绿色的溶剂热反应，一步制备了水溶性良好的Cu</w:t>
            </w:r>
            <w:r>
              <w:rPr>
                <w:rFonts w:hint="eastAsia" w:ascii="Times New Roman" w:hAnsi="Times New Roman" w:cs="Times New Roman"/>
                <w:sz w:val="24"/>
                <w:vertAlign w:val="subscript"/>
              </w:rPr>
              <w:t>2</w:t>
            </w:r>
            <w:r>
              <w:rPr>
                <w:rFonts w:hint="eastAsia" w:ascii="Times New Roman" w:hAnsi="Times New Roman" w:cs="Times New Roman"/>
                <w:sz w:val="24"/>
              </w:rPr>
              <w:t>MnS</w:t>
            </w:r>
            <w:r>
              <w:rPr>
                <w:rFonts w:hint="eastAsia" w:ascii="Times New Roman" w:hAnsi="Times New Roman" w:cs="Times New Roman"/>
                <w:sz w:val="24"/>
                <w:vertAlign w:val="subscript"/>
              </w:rPr>
              <w:t>2</w:t>
            </w:r>
            <w:r>
              <w:rPr>
                <w:rFonts w:hint="eastAsia" w:ascii="Times New Roman" w:hAnsi="Times New Roman" w:cs="Times New Roman"/>
                <w:sz w:val="24"/>
              </w:rPr>
              <w:t>二维纳米盘。该二维纳米盘展现出良好的生物相容性、低的细胞毒性。相比于单纯的硫化铜类材料，锰的引入，可以缩短</w:t>
            </w:r>
            <w:r>
              <w:rPr>
                <w:rFonts w:hint="eastAsia" w:ascii="Times New Roman" w:hAnsi="Times New Roman" w:cs="Times New Roman"/>
                <w:i/>
                <w:sz w:val="24"/>
              </w:rPr>
              <w:t>T</w:t>
            </w:r>
            <w:r>
              <w:rPr>
                <w:rFonts w:hint="eastAsia" w:ascii="Times New Roman" w:hAnsi="Times New Roman" w:cs="Times New Roman"/>
                <w:sz w:val="24"/>
                <w:vertAlign w:val="subscript"/>
              </w:rPr>
              <w:t>1</w:t>
            </w:r>
            <w:r>
              <w:rPr>
                <w:rFonts w:hint="eastAsia" w:ascii="Times New Roman" w:hAnsi="Times New Roman" w:cs="Times New Roman"/>
                <w:sz w:val="24"/>
              </w:rPr>
              <w:t>弛豫时间，在体外和体内实验中均展现出优良的</w:t>
            </w:r>
            <w:r>
              <w:rPr>
                <w:rFonts w:hint="eastAsia" w:ascii="Times New Roman" w:hAnsi="Times New Roman" w:cs="Times New Roman"/>
                <w:i/>
                <w:sz w:val="24"/>
              </w:rPr>
              <w:t>T</w:t>
            </w:r>
            <w:r>
              <w:rPr>
                <w:rFonts w:hint="eastAsia" w:ascii="Times New Roman" w:hAnsi="Times New Roman" w:cs="Times New Roman"/>
                <w:sz w:val="24"/>
                <w:vertAlign w:val="subscript"/>
              </w:rPr>
              <w:t>1</w:t>
            </w:r>
            <w:r>
              <w:rPr>
                <w:rFonts w:hint="eastAsia" w:ascii="Times New Roman" w:hAnsi="Times New Roman" w:cs="Times New Roman"/>
                <w:sz w:val="24"/>
              </w:rPr>
              <w:t>增强效果。通过细胞和小鼠活体实验证明了该纳米盘可以用作肿瘤的光声和核磁共振双模态成像造影剂。此外，纳米盘在近红外二区展现出很强的吸收以及良好的光热转换性能（光热转换效率为49.38%），因而可应用于低照射剂量下（0.6 W/cm</w:t>
            </w:r>
            <w:r>
              <w:rPr>
                <w:rFonts w:hint="eastAsia" w:ascii="Times New Roman" w:hAnsi="Times New Roman" w:cs="Times New Roman"/>
                <w:sz w:val="24"/>
                <w:vertAlign w:val="superscript"/>
              </w:rPr>
              <w:t>2</w:t>
            </w:r>
            <w:r>
              <w:rPr>
                <w:rFonts w:hint="eastAsia" w:ascii="Times New Roman" w:hAnsi="Times New Roman" w:cs="Times New Roman"/>
                <w:sz w:val="24"/>
              </w:rPr>
              <w:t>）的近红外二区（1064 nm）光热治疗。这一工作首次制备了二维Cu</w:t>
            </w:r>
            <w:r>
              <w:rPr>
                <w:rFonts w:hint="eastAsia" w:ascii="Times New Roman" w:hAnsi="Times New Roman" w:cs="Times New Roman"/>
                <w:sz w:val="24"/>
                <w:vertAlign w:val="subscript"/>
              </w:rPr>
              <w:t>2</w:t>
            </w:r>
            <w:r>
              <w:rPr>
                <w:rFonts w:hint="eastAsia" w:ascii="Times New Roman" w:hAnsi="Times New Roman" w:cs="Times New Roman"/>
                <w:sz w:val="24"/>
              </w:rPr>
              <w:t>MnS</w:t>
            </w:r>
            <w:r>
              <w:rPr>
                <w:rFonts w:hint="eastAsia" w:ascii="Times New Roman" w:hAnsi="Times New Roman" w:cs="Times New Roman"/>
                <w:sz w:val="24"/>
                <w:vertAlign w:val="subscript"/>
              </w:rPr>
              <w:t>2</w:t>
            </w:r>
            <w:r>
              <w:rPr>
                <w:rFonts w:hint="eastAsia" w:ascii="Times New Roman" w:hAnsi="Times New Roman" w:cs="Times New Roman"/>
                <w:sz w:val="24"/>
              </w:rPr>
              <w:t>纳米盘并实现了高灵敏的肿瘤成像和高效的近红外二区光热治疗，拓宽了二维纳米材料的生物医学应用，对新型高效抗癌诊疗一体化纳米材料的研发具有重要的借鉴意义。相关工作发表在</w:t>
            </w:r>
            <w:r>
              <w:rPr>
                <w:rFonts w:ascii="Times New Roman" w:hAnsi="Times New Roman" w:cs="Times New Roman"/>
                <w:b/>
                <w:i/>
                <w:sz w:val="24"/>
              </w:rPr>
              <w:t>Theranostics</w:t>
            </w:r>
            <w:r>
              <w:rPr>
                <w:rFonts w:ascii="Times New Roman" w:hAnsi="Times New Roman" w:cs="Times New Roman"/>
                <w:sz w:val="24"/>
              </w:rPr>
              <w:t xml:space="preserve"> 2017</w:t>
            </w:r>
            <w:r>
              <w:rPr>
                <w:rFonts w:hint="eastAsia" w:ascii="Times New Roman" w:hAnsi="Times New Roman" w:cs="Times New Roman"/>
                <w:sz w:val="24"/>
              </w:rPr>
              <w:t xml:space="preserve">, </w:t>
            </w:r>
            <w:r>
              <w:rPr>
                <w:rFonts w:ascii="Times New Roman" w:hAnsi="Times New Roman" w:cs="Times New Roman"/>
                <w:sz w:val="24"/>
              </w:rPr>
              <w:t>7, 4763-4776</w:t>
            </w:r>
            <w:r>
              <w:rPr>
                <w:rFonts w:hint="eastAsia" w:ascii="Times New Roman" w:hAnsi="Times New Roman" w:cs="Times New Roman"/>
                <w:sz w:val="24"/>
              </w:rPr>
              <w:t>。</w:t>
            </w:r>
          </w:p>
          <w:p>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2</w:t>
            </w:r>
            <w:r>
              <w:rPr>
                <w:rFonts w:ascii="Times New Roman" w:hAnsi="Times New Roman" w:cs="Times New Roman"/>
                <w:sz w:val="24"/>
              </w:rPr>
              <w:t>. DNA超分子纳米结构和纳米机器</w:t>
            </w:r>
            <w:r>
              <w:rPr>
                <w:rFonts w:hint="eastAsia" w:ascii="Times New Roman" w:hAnsi="Times New Roman" w:cs="Times New Roman"/>
                <w:sz w:val="24"/>
              </w:rPr>
              <w:t>及基于DNA</w:t>
            </w:r>
            <w:r>
              <w:rPr>
                <w:rFonts w:ascii="Times New Roman" w:hAnsi="Times New Roman" w:cs="Times New Roman"/>
                <w:sz w:val="24"/>
              </w:rPr>
              <w:t>新型生物检测平台</w:t>
            </w:r>
            <w:r>
              <w:rPr>
                <w:rFonts w:hint="eastAsia" w:ascii="Times New Roman" w:hAnsi="Times New Roman" w:cs="Times New Roman"/>
                <w:sz w:val="24"/>
              </w:rPr>
              <w:t>的构建</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利用DNA环之间的相互锁套作用，制备了DNA连环（Catenane，两个、五个和七个环）纳米结构。通过设计，在两环DNA连环结构中，外界刺激物能够触发控制DNA环之间相对位置的转动，并且能够控制转动方向。外界刺激物包括DNA(链置换反应)、pH（i-motif的形成）和汞离子（T-Hg</w:t>
            </w:r>
            <w:r>
              <w:rPr>
                <w:rFonts w:ascii="Times New Roman" w:hAnsi="Times New Roman" w:cs="Times New Roman"/>
                <w:sz w:val="24"/>
                <w:vertAlign w:val="superscript"/>
              </w:rPr>
              <w:t>2+</w:t>
            </w:r>
            <w:r>
              <w:rPr>
                <w:rFonts w:ascii="Times New Roman" w:hAnsi="Times New Roman" w:cs="Times New Roman"/>
                <w:sz w:val="24"/>
              </w:rPr>
              <w:t>-T的形成），相关工作发表在</w:t>
            </w:r>
            <w:r>
              <w:rPr>
                <w:rFonts w:ascii="Times New Roman" w:hAnsi="Times New Roman" w:cs="Times New Roman"/>
                <w:b/>
                <w:i/>
                <w:iCs/>
                <w:sz w:val="24"/>
              </w:rPr>
              <w:t>Nano Lett.</w:t>
            </w:r>
            <w:r>
              <w:rPr>
                <w:rFonts w:ascii="Times New Roman" w:hAnsi="Times New Roman" w:cs="Times New Roman"/>
                <w:i/>
                <w:iCs/>
                <w:sz w:val="24"/>
              </w:rPr>
              <w:t xml:space="preserve"> </w:t>
            </w:r>
            <w:r>
              <w:rPr>
                <w:rFonts w:ascii="Times New Roman" w:hAnsi="Times New Roman" w:cs="Times New Roman"/>
                <w:sz w:val="24"/>
              </w:rPr>
              <w:t>2013, 13, 2303-2308；</w:t>
            </w:r>
            <w:r>
              <w:rPr>
                <w:rFonts w:ascii="Times New Roman" w:hAnsi="Times New Roman" w:cs="Times New Roman"/>
                <w:b/>
                <w:i/>
                <w:iCs/>
                <w:sz w:val="24"/>
              </w:rPr>
              <w:t>Chem. Commun.</w:t>
            </w:r>
            <w:r>
              <w:rPr>
                <w:rFonts w:ascii="Times New Roman" w:hAnsi="Times New Roman" w:cs="Times New Roman"/>
                <w:i/>
                <w:iCs/>
                <w:sz w:val="24"/>
              </w:rPr>
              <w:t xml:space="preserve"> </w:t>
            </w:r>
            <w:r>
              <w:rPr>
                <w:rFonts w:ascii="Times New Roman" w:hAnsi="Times New Roman" w:cs="Times New Roman"/>
                <w:sz w:val="24"/>
              </w:rPr>
              <w:t>2014, 50, 4717-4720。在五环DNA连环中，通过加入DNA刺激触发DNA连环，可以得到四种不同组态的五环结构DNA分子器件。其中一种五环结构称为DNA奥林匹克环，并且通过原子力显微镜（AFM）可以观察到分子水平的DNA奥林匹克环，相关工作发表在</w:t>
            </w:r>
            <w:r>
              <w:rPr>
                <w:rFonts w:ascii="Times New Roman" w:hAnsi="Times New Roman" w:cs="Times New Roman"/>
                <w:b/>
                <w:i/>
                <w:iCs/>
                <w:sz w:val="24"/>
              </w:rPr>
              <w:t>Angew. Chem. Int. Ed.</w:t>
            </w:r>
            <w:r>
              <w:rPr>
                <w:rFonts w:ascii="Times New Roman" w:hAnsi="Times New Roman" w:cs="Times New Roman"/>
                <w:i/>
                <w:iCs/>
                <w:sz w:val="24"/>
              </w:rPr>
              <w:t xml:space="preserve"> </w:t>
            </w:r>
            <w:r>
              <w:rPr>
                <w:rFonts w:ascii="Times New Roman" w:hAnsi="Times New Roman" w:cs="Times New Roman"/>
                <w:sz w:val="24"/>
              </w:rPr>
              <w:t>2014, 53, 7499-7503。在七环DNA连环体系中，通过设计其中四个可移动的环，可以得到十六种不同组态的DNA分子器件，由于所设计的分子器件类似于机器人，所以七环体系又称为“DNA纳米机器人”，相关工作发表在</w:t>
            </w:r>
            <w:r>
              <w:rPr>
                <w:rFonts w:ascii="Times New Roman" w:hAnsi="Times New Roman" w:cs="Times New Roman"/>
                <w:b/>
                <w:i/>
                <w:iCs/>
                <w:sz w:val="24"/>
              </w:rPr>
              <w:t>Nano Lett.</w:t>
            </w:r>
            <w:r>
              <w:rPr>
                <w:rFonts w:ascii="Times New Roman" w:hAnsi="Times New Roman" w:cs="Times New Roman"/>
                <w:i/>
                <w:iCs/>
                <w:sz w:val="24"/>
              </w:rPr>
              <w:t xml:space="preserve"> </w:t>
            </w:r>
            <w:r>
              <w:rPr>
                <w:rFonts w:ascii="Times New Roman" w:hAnsi="Times New Roman" w:cs="Times New Roman"/>
                <w:sz w:val="24"/>
              </w:rPr>
              <w:t>2015, 15, 7133-7137，并发表了综述</w:t>
            </w:r>
            <w:r>
              <w:rPr>
                <w:rFonts w:ascii="Times New Roman" w:hAnsi="Times New Roman" w:cs="Times New Roman"/>
                <w:b/>
                <w:i/>
                <w:sz w:val="24"/>
              </w:rPr>
              <w:t>J. Am. Chem. Soc.</w:t>
            </w:r>
            <w:r>
              <w:rPr>
                <w:rFonts w:ascii="Times New Roman" w:hAnsi="Times New Roman" w:cs="Times New Roman"/>
                <w:sz w:val="24"/>
              </w:rPr>
              <w:t xml:space="preserve"> 2016, 138, 5172-5185。</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通过在一条套有DNA环的DNA链两端接上纳米金颗粒，可以得到分子水平DNA轮烷（Rotaxane）结构。而在DNA环上接荧光基团并控制荧光基团与纳米金之间的距离，可以研究荧光基团和纳米金之间的等离子体效应。在DNA连环和轮烷上接上不同粒径的纳米金，可以程序组织切换纳米金结构。相关的研究成果发表在</w:t>
            </w:r>
            <w:r>
              <w:rPr>
                <w:rFonts w:ascii="Times New Roman" w:hAnsi="Times New Roman" w:cs="Times New Roman"/>
                <w:b/>
                <w:i/>
                <w:sz w:val="24"/>
              </w:rPr>
              <w:t>Nano Lett.</w:t>
            </w:r>
            <w:r>
              <w:rPr>
                <w:rFonts w:ascii="Times New Roman" w:hAnsi="Times New Roman" w:cs="Times New Roman"/>
                <w:sz w:val="24"/>
              </w:rPr>
              <w:t xml:space="preserve"> 2013, 13, 6275-6280等。</w:t>
            </w:r>
          </w:p>
          <w:p>
            <w:pPr>
              <w:pStyle w:val="2"/>
              <w:spacing w:line="372" w:lineRule="auto"/>
              <w:ind w:firstLine="425"/>
              <w:rPr>
                <w:rFonts w:ascii="Times New Roman" w:hAnsi="Times New Roman" w:cs="Times New Roman"/>
                <w:spacing w:val="2"/>
              </w:rPr>
            </w:pPr>
            <w:r>
              <w:rPr>
                <w:rFonts w:ascii="Times New Roman" w:hAnsi="Times New Roman" w:cs="Times New Roman" w:eastAsiaTheme="minorEastAsia"/>
                <w:sz w:val="24"/>
              </w:rPr>
              <w:t>创新性结合核酸类连接酶和切割酶的功能，实现恒温自催化自复制新型检测平台的建立。目标DNA能够诱导核酸类连接酶亚基重组形成活性连接酶结构。该激活的核酸类连接酶能够连接两条DNA底物生成单链DNA产物。该单链DNA产物能够诱导激活另一个核酸类切割酶的形成，并且通过链杂交置换反应解决了核酸类连接酶的自我抑制作用。通过自催化自复制的反应，该平台能够实现对目标DNA皮摩尔级的检测。研究成果发表在</w:t>
            </w:r>
            <w:r>
              <w:rPr>
                <w:rFonts w:ascii="Times New Roman" w:hAnsi="Times New Roman" w:cs="Times New Roman" w:eastAsiaTheme="minorEastAsia"/>
                <w:b/>
                <w:i/>
                <w:sz w:val="24"/>
              </w:rPr>
              <w:t xml:space="preserve">J. Am. Chem. Soc. </w:t>
            </w:r>
            <w:r>
              <w:rPr>
                <w:rFonts w:ascii="Times New Roman" w:hAnsi="Times New Roman" w:cs="Times New Roman" w:eastAsiaTheme="minorEastAsia"/>
                <w:sz w:val="24"/>
              </w:rPr>
              <w:t>2012, 134, 10651-10658，并且在 “Spotlight on Recent JACS Publications”中做了亮点介绍。 通过设计特定的内切酶位点和核酸适体亚基相结合，实现了对靶分子（ATP、可卡因、加压素等）高灵敏、高选择性检测。利用氧化石墨烯对DNA核酸适体的保护功能以及结合脱氧核糖核酸酶（DNase I），发展了一种信号扩增型的核酸适体传感体系，其灵敏度比传统的核酸适体传感器体系提高了100倍。利用氧化石墨烯对单链和双链DNA的吸附能力不同以及结合Y型DNA，实现了对三个内切酶的多重检测。相关的研究成果发表在</w:t>
            </w:r>
            <w:r>
              <w:rPr>
                <w:rFonts w:ascii="Times New Roman" w:hAnsi="Times New Roman" w:cs="Times New Roman" w:eastAsiaTheme="minorEastAsia"/>
                <w:b/>
                <w:i/>
                <w:sz w:val="24"/>
              </w:rPr>
              <w:t>Angew. Chem. Int. Ed.</w:t>
            </w:r>
            <w:r>
              <w:rPr>
                <w:rFonts w:ascii="Times New Roman" w:hAnsi="Times New Roman" w:cs="Times New Roman" w:eastAsiaTheme="minorEastAsia"/>
                <w:i/>
                <w:sz w:val="24"/>
              </w:rPr>
              <w:t xml:space="preserve"> </w:t>
            </w:r>
            <w:r>
              <w:rPr>
                <w:rFonts w:ascii="Times New Roman" w:hAnsi="Times New Roman" w:cs="Times New Roman" w:eastAsiaTheme="minorEastAsia"/>
                <w:sz w:val="24"/>
              </w:rPr>
              <w:t>2010, 50, 8454-8457；</w:t>
            </w:r>
            <w:r>
              <w:rPr>
                <w:rFonts w:ascii="Times New Roman" w:hAnsi="Times New Roman" w:cs="Times New Roman" w:eastAsiaTheme="minorEastAsia"/>
                <w:b/>
                <w:i/>
                <w:sz w:val="24"/>
              </w:rPr>
              <w:t>Chem. Sci.</w:t>
            </w:r>
            <w:r>
              <w:rPr>
                <w:rFonts w:ascii="Times New Roman" w:hAnsi="Times New Roman" w:cs="Times New Roman" w:eastAsiaTheme="minorEastAsia"/>
                <w:i/>
                <w:sz w:val="24"/>
              </w:rPr>
              <w:t xml:space="preserve"> </w:t>
            </w:r>
            <w:r>
              <w:rPr>
                <w:rFonts w:ascii="Times New Roman" w:hAnsi="Times New Roman" w:cs="Times New Roman" w:eastAsiaTheme="minorEastAsia"/>
                <w:sz w:val="24"/>
              </w:rPr>
              <w:t>2012, 3, 2616-2622；</w:t>
            </w:r>
            <w:r>
              <w:rPr>
                <w:rFonts w:ascii="Times New Roman" w:hAnsi="Times New Roman" w:cs="Times New Roman" w:eastAsiaTheme="minorEastAsia"/>
                <w:b/>
                <w:i/>
                <w:sz w:val="24"/>
              </w:rPr>
              <w:t>J. Mater. Chem.</w:t>
            </w:r>
            <w:r>
              <w:rPr>
                <w:rFonts w:ascii="Times New Roman" w:hAnsi="Times New Roman" w:cs="Times New Roman" w:eastAsiaTheme="minorEastAsia"/>
                <w:b/>
                <w:sz w:val="24"/>
              </w:rPr>
              <w:t xml:space="preserve"> </w:t>
            </w:r>
            <w:r>
              <w:rPr>
                <w:rFonts w:ascii="Times New Roman" w:hAnsi="Times New Roman" w:cs="Times New Roman" w:eastAsiaTheme="minorEastAsia"/>
                <w:sz w:val="24"/>
              </w:rPr>
              <w:t>2011, 21, 10915-10919等。</w:t>
            </w:r>
          </w:p>
          <w:p>
            <w:pPr>
              <w:spacing w:line="372" w:lineRule="auto"/>
              <w:ind w:firstLine="480" w:firstLineChars="200"/>
              <w:rPr>
                <w:rFonts w:ascii="Times New Roman" w:hAnsi="Times New Roman" w:cs="Times New Roman"/>
                <w:sz w:val="24"/>
              </w:rPr>
            </w:pPr>
            <w:r>
              <w:rPr>
                <w:rFonts w:hint="eastAsia" w:ascii="Times New Roman" w:hAnsi="Times New Roman" w:cs="Times New Roman"/>
                <w:sz w:val="24"/>
              </w:rPr>
              <w:t>3</w:t>
            </w:r>
            <w:r>
              <w:rPr>
                <w:rFonts w:ascii="Times New Roman" w:hAnsi="Times New Roman" w:cs="Times New Roman"/>
                <w:sz w:val="24"/>
              </w:rPr>
              <w:t>. 首次构建了基于石墨烯的光学生物传感新方法</w:t>
            </w:r>
          </w:p>
          <w:p>
            <w:pPr>
              <w:spacing w:line="372" w:lineRule="auto"/>
              <w:ind w:firstLine="480" w:firstLineChars="200"/>
              <w:rPr>
                <w:rFonts w:ascii="Times New Roman" w:hAnsi="Times New Roman" w:cs="Times New Roman"/>
                <w:sz w:val="24"/>
              </w:rPr>
            </w:pPr>
            <w:r>
              <w:rPr>
                <w:rFonts w:ascii="Times New Roman" w:hAnsi="Times New Roman" w:cs="Times New Roman"/>
                <w:sz w:val="24"/>
              </w:rPr>
              <w:t>利用新型碳纳米材料石墨烯对单链DNA的独特吸附能力和对荧光探针的电子转移猝灭性能，在国际上首次结合氧化石墨烯和生物分子，建立了快速、高灵敏、高选择性检测DNA和蛋白质的的新方法。该研究成果发表在</w:t>
            </w:r>
            <w:r>
              <w:rPr>
                <w:rFonts w:ascii="Times New Roman" w:hAnsi="Times New Roman" w:cs="Times New Roman"/>
                <w:b/>
                <w:i/>
                <w:sz w:val="24"/>
              </w:rPr>
              <w:t>Angew. Chem. Int. Ed.</w:t>
            </w:r>
            <w:r>
              <w:rPr>
                <w:rFonts w:ascii="Times New Roman" w:hAnsi="Times New Roman" w:cs="Times New Roman"/>
                <w:sz w:val="24"/>
              </w:rPr>
              <w:t xml:space="preserve"> 2009, 48, 4785-4787，目前已被他引</w:t>
            </w:r>
            <w:r>
              <w:rPr>
                <w:rFonts w:hint="eastAsia" w:ascii="Times New Roman" w:hAnsi="Times New Roman" w:cs="Times New Roman"/>
                <w:sz w:val="24"/>
              </w:rPr>
              <w:t>1264</w:t>
            </w:r>
            <w:r>
              <w:rPr>
                <w:rFonts w:ascii="Times New Roman" w:hAnsi="Times New Roman" w:cs="Times New Roman"/>
                <w:sz w:val="24"/>
              </w:rPr>
              <w:t>余次。NPG Asia Materials 为这一研究成果作了题为“Graphene oxide: Sensing biomolecules”的亮点介绍，指出作者所建立的氧化石墨烯传感器有望实现重大疾病的低成本、快速、灵敏和特异的检测。</w:t>
            </w:r>
          </w:p>
          <w:p>
            <w:pPr>
              <w:spacing w:line="372" w:lineRule="auto"/>
              <w:ind w:firstLine="480" w:firstLineChars="200"/>
              <w:rPr>
                <w:rFonts w:ascii="Times New Roman" w:hAnsi="Times New Roman" w:cs="Times New Roman"/>
                <w:sz w:val="24"/>
              </w:rPr>
            </w:pPr>
            <w:r>
              <w:rPr>
                <w:rFonts w:ascii="Times New Roman" w:hAnsi="Times New Roman" w:cs="Times New Roman"/>
                <w:sz w:val="24"/>
              </w:rPr>
              <w:t>在进一步的研究工作中，作者首次证明了氧化石墨烯可提高吸附核酸探针的稳定性，并可高效转染核酸探针进入癌细胞。利用氧化石墨烯纳米生物探针，成功实现了癌细胞中癌症相关mRNA 的检测。该研究成果发表在</w:t>
            </w:r>
            <w:r>
              <w:rPr>
                <w:rFonts w:ascii="Times New Roman" w:hAnsi="Times New Roman" w:cs="Times New Roman"/>
                <w:b/>
                <w:i/>
                <w:sz w:val="24"/>
              </w:rPr>
              <w:t>Chem. Comm.</w:t>
            </w:r>
            <w:r>
              <w:rPr>
                <w:rFonts w:ascii="Times New Roman" w:hAnsi="Times New Roman" w:cs="Times New Roman"/>
                <w:sz w:val="24"/>
              </w:rPr>
              <w:t xml:space="preserve"> 2010, 46, 3116-3118。Nature China为这一研究成果作了题为“Nanotechnology: thin protection”的亮点介绍，指出作者建立的氧化石墨烯纳米生物探针，有望在基因诊断和基因治疗方面发挥重要作用。美国化学会化学化工新闻周刊（ACS Chem. &amp; Eng. News）也为这一研究成果作了题为“graphene: Ferries DNA”的亮点介绍。</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被推荐人还将氧化石墨烯生物传感方法用于癌症标志物蛋白水解酶和HIV 相关蛋白的检测，研究成果发表在</w:t>
            </w:r>
            <w:r>
              <w:rPr>
                <w:rFonts w:ascii="Times New Roman" w:hAnsi="Times New Roman" w:cs="Times New Roman"/>
                <w:b/>
                <w:i/>
                <w:sz w:val="24"/>
              </w:rPr>
              <w:t xml:space="preserve">Anal. Chem. </w:t>
            </w:r>
            <w:r>
              <w:rPr>
                <w:rFonts w:ascii="Times New Roman" w:hAnsi="Times New Roman" w:cs="Times New Roman"/>
                <w:sz w:val="24"/>
              </w:rPr>
              <w:t>2011, 83, 7276-7282上，并成为Anal. Chem.当月阅读次数最多的论文。美国化学会化学化工新闻周刊也为这一研究成果作了题为“Cheap, Simple Test Spots Protein-Protein Interactions”的亮点介绍。</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除了石墨烯外，被推荐人还建立了多种基于纳米材料的生物传感新方法。如利用纳米金在半胱氨酸中能够发生聚集而在胱氨酸中能够稳定存在的现象，通过加入铜离子来调节半胱氨酸被催化氧化形成胱氨酸的程度进而影响纳米金的聚集程度，被推荐人建立了一种快速、高灵敏、高选择性检测铜离子的比色传感器。在进一步工作中，通过结合铜离子传感器和生物免疫测定，构建了一种新型检测癌症相关蛋白标志物甲胎蛋白的比色型免疫传感器。该传感器设计简单，并比传统ELISA灵敏度更高。研究成果发表在自然出版社旗下</w:t>
            </w:r>
            <w:r>
              <w:rPr>
                <w:rFonts w:ascii="Times New Roman" w:hAnsi="Times New Roman" w:cs="Times New Roman"/>
                <w:b/>
                <w:i/>
                <w:sz w:val="24"/>
              </w:rPr>
              <w:t>NPG Asia Mater.</w:t>
            </w:r>
            <w:r>
              <w:rPr>
                <w:rFonts w:ascii="Times New Roman" w:hAnsi="Times New Roman" w:cs="Times New Roman"/>
                <w:sz w:val="24"/>
              </w:rPr>
              <w:t xml:space="preserve"> 2012, 4, e10。</w:t>
            </w:r>
          </w:p>
          <w:p>
            <w:pPr>
              <w:spacing w:line="360" w:lineRule="auto"/>
              <w:ind w:firstLine="480" w:firstLineChars="200"/>
              <w:rPr>
                <w:rFonts w:ascii="Times New Roman" w:hAnsi="Times New Roman" w:cs="Times New Roman"/>
                <w:sz w:val="24"/>
              </w:rPr>
            </w:pPr>
            <w:r>
              <w:rPr>
                <w:rFonts w:hint="eastAsia" w:ascii="Times New Roman" w:hAnsi="Times New Roman" w:cs="Times New Roman"/>
                <w:sz w:val="24"/>
              </w:rPr>
              <w:t>4</w:t>
            </w:r>
            <w:r>
              <w:rPr>
                <w:rFonts w:ascii="Times New Roman" w:hAnsi="Times New Roman" w:cs="Times New Roman"/>
                <w:sz w:val="24"/>
              </w:rPr>
              <w:t>. 构建可控催化性和环境刺激双功能化DNA水凝胶</w:t>
            </w:r>
          </w:p>
          <w:p>
            <w:pPr>
              <w:spacing w:line="360" w:lineRule="auto"/>
              <w:ind w:firstLine="480" w:firstLineChars="200"/>
              <w:rPr>
                <w:rFonts w:ascii="宋体" w:hAnsi="宋体"/>
                <w:spacing w:val="2"/>
              </w:rPr>
            </w:pPr>
            <w:r>
              <w:rPr>
                <w:rFonts w:ascii="Times New Roman" w:hAnsi="Times New Roman" w:cs="Times New Roman"/>
                <w:sz w:val="24"/>
              </w:rPr>
              <w:t>丙烯酰胺基（Acrydite）修饰的DNA在引发剂的催化下能够聚合形成含有多条DNA支链的聚丙烯酰胺链。被推荐人将G-四链体核酸类酶（G-quadruplex DNAzyme）亚基设计到DNA支链中，在外界钾离子的刺激作用下，DNA支链之间相互作用形成G-四链体，从而使聚丙烯酰胺链相互交联，形成DNA水凝胶。而通过加入冠醚络合钾离子，能够使得G-四链体分解，从而使DNA水凝胶返回溶液状态。由于G-quadruplex/Hemin复合物具有模拟辣根过氧化物酶（HRP）的活性，所以可以制备具有催化活性的DNA水凝胶。研究成果发表在</w:t>
            </w:r>
            <w:r>
              <w:rPr>
                <w:rFonts w:ascii="Times New Roman" w:hAnsi="Times New Roman" w:cs="Times New Roman"/>
                <w:b/>
                <w:i/>
                <w:sz w:val="24"/>
              </w:rPr>
              <w:t xml:space="preserve">Nano Lett. </w:t>
            </w:r>
            <w:r>
              <w:rPr>
                <w:rFonts w:ascii="Times New Roman" w:hAnsi="Times New Roman" w:cs="Times New Roman"/>
                <w:sz w:val="24"/>
              </w:rPr>
              <w:t>2013, 13, 1298-1302。以热敏性材料N-异丙基丙烯酰胺（NIPAM）为聚合单体，结合功能化丙烯酰胺基修饰的DNA，被推荐人首次制备了对温度和外界环境刺激双重敏感的双功能化DNA水凝胶。通过控制环境的pH值（酸性）或者银离子（Ag</w:t>
            </w:r>
            <w:r>
              <w:rPr>
                <w:rFonts w:ascii="Times New Roman" w:hAnsi="Times New Roman" w:cs="Times New Roman"/>
                <w:sz w:val="24"/>
                <w:vertAlign w:val="superscript"/>
              </w:rPr>
              <w:t>+</w:t>
            </w:r>
            <w:r>
              <w:rPr>
                <w:rFonts w:ascii="Times New Roman" w:hAnsi="Times New Roman" w:cs="Times New Roman"/>
                <w:sz w:val="24"/>
              </w:rPr>
              <w:t>）的浓度，功能化DNA支链之间相互交联，形成DNA水凝胶。通过控制环境温度，DNA水凝胶可以实现从胶状体到固体状态之间的转换。研究成果发表在</w:t>
            </w:r>
            <w:r>
              <w:rPr>
                <w:rFonts w:ascii="Times New Roman" w:hAnsi="Times New Roman" w:cs="Times New Roman"/>
                <w:b/>
                <w:i/>
                <w:sz w:val="24"/>
              </w:rPr>
              <w:t>Angew. Chem. Int. Ed.</w:t>
            </w:r>
            <w:r>
              <w:rPr>
                <w:rFonts w:ascii="Times New Roman" w:hAnsi="Times New Roman" w:cs="Times New Roman"/>
                <w:sz w:val="24"/>
              </w:rPr>
              <w:t xml:space="preserve"> 2014, 53, 10134-10138, 并被选作VIP文章。通过在DNA水凝胶中设计多个调控开关，被推荐人制备了具有记忆功能的DNA水凝胶。通过连结不同类型的DNA水凝胶，制备出了多种记忆功能的水凝胶，并可以调控装载的荧光染料的释放速度，相关工作发表在</w:t>
            </w:r>
            <w:r>
              <w:rPr>
                <w:rFonts w:ascii="Times New Roman" w:hAnsi="Times New Roman" w:cs="Times New Roman"/>
                <w:b/>
                <w:i/>
                <w:iCs/>
                <w:sz w:val="24"/>
              </w:rPr>
              <w:t>J. Am. Chem. Soc.</w:t>
            </w:r>
            <w:r>
              <w:rPr>
                <w:rFonts w:ascii="Times New Roman" w:hAnsi="Times New Roman" w:cs="Times New Roman"/>
                <w:i/>
                <w:iCs/>
                <w:sz w:val="24"/>
              </w:rPr>
              <w:t xml:space="preserve"> </w:t>
            </w:r>
            <w:r>
              <w:rPr>
                <w:rFonts w:ascii="Times New Roman" w:hAnsi="Times New Roman" w:cs="Times New Roman"/>
                <w:sz w:val="24"/>
              </w:rPr>
              <w:t>2015, 137, 15723-15731；</w:t>
            </w:r>
            <w:r>
              <w:rPr>
                <w:rFonts w:ascii="Times New Roman" w:hAnsi="Times New Roman" w:cs="Times New Roman"/>
                <w:b/>
                <w:i/>
                <w:iCs/>
                <w:sz w:val="24"/>
              </w:rPr>
              <w:t>Adv. Mater.</w:t>
            </w:r>
            <w:r>
              <w:rPr>
                <w:rFonts w:ascii="Times New Roman" w:hAnsi="Times New Roman" w:cs="Times New Roman"/>
                <w:i/>
                <w:iCs/>
                <w:sz w:val="24"/>
              </w:rPr>
              <w:t xml:space="preserve"> </w:t>
            </w:r>
            <w:r>
              <w:rPr>
                <w:rFonts w:ascii="Times New Roman" w:hAnsi="Times New Roman" w:cs="Times New Roman"/>
                <w:sz w:val="24"/>
              </w:rPr>
              <w:t>2015, 27, 73-78等，并撰写了综述</w:t>
            </w:r>
            <w:r>
              <w:rPr>
                <w:rFonts w:ascii="Times New Roman" w:hAnsi="Times New Roman" w:cs="Times New Roman"/>
                <w:b/>
                <w:i/>
                <w:sz w:val="24"/>
              </w:rPr>
              <w:t>Angew. Chem. Int. Ed.</w:t>
            </w:r>
            <w:r>
              <w:rPr>
                <w:rFonts w:ascii="Times New Roman" w:hAnsi="Times New Roman" w:cs="Times New Roman"/>
                <w:sz w:val="24"/>
              </w:rPr>
              <w:t>，2015, 54, 12212-12235。</w:t>
            </w:r>
          </w:p>
          <w:p>
            <w:pPr>
              <w:spacing w:line="400" w:lineRule="exact"/>
              <w:rPr>
                <w:rFonts w:ascii="宋体" w:hAnsi="宋体"/>
                <w:spacing w:val="2"/>
              </w:rPr>
            </w:pPr>
          </w:p>
        </w:tc>
      </w:tr>
    </w:tbl>
    <w:p>
      <w:pPr>
        <w:widowControl/>
        <w:jc w:val="left"/>
        <w:rPr>
          <w:rFonts w:ascii="宋体" w:hAnsi="宋体" w:eastAsia="黑体"/>
          <w:sz w:val="30"/>
          <w:szCs w:val="30"/>
        </w:rPr>
      </w:pPr>
      <w:r>
        <w:rPr>
          <w:rFonts w:ascii="宋体" w:hAnsi="宋体" w:eastAsia="黑体"/>
          <w:sz w:val="30"/>
          <w:szCs w:val="30"/>
        </w:rPr>
        <w:br w:type="page"/>
      </w:r>
      <w:r>
        <w:rPr>
          <w:rFonts w:hint="eastAsia" w:ascii="宋体" w:hAnsi="宋体" w:eastAsia="黑体"/>
          <w:sz w:val="30"/>
          <w:szCs w:val="30"/>
        </w:rPr>
        <w:t>八、发表论文、专著的情况</w:t>
      </w:r>
    </w:p>
    <w:tbl>
      <w:tblPr>
        <w:tblStyle w:val="9"/>
        <w:tblW w:w="8971"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817"/>
        <w:gridCol w:w="8154"/>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10708" w:hRule="atLeast"/>
          <w:jc w:val="center"/>
        </w:trPr>
        <w:tc>
          <w:tcPr>
            <w:tcW w:w="8971" w:type="dxa"/>
            <w:gridSpan w:val="2"/>
            <w:tcBorders>
              <w:top w:val="single" w:color="auto" w:sz="4" w:space="0"/>
              <w:left w:val="single" w:color="auto" w:sz="4" w:space="0"/>
              <w:bottom w:val="single" w:color="auto" w:sz="4" w:space="0"/>
              <w:right w:val="single" w:color="auto" w:sz="4" w:space="0"/>
            </w:tcBorders>
          </w:tcPr>
          <w:p>
            <w:pPr>
              <w:spacing w:line="400" w:lineRule="exact"/>
              <w:ind w:firstLine="420" w:firstLineChars="200"/>
              <w:rPr>
                <w:rFonts w:ascii="宋体" w:hAnsi="宋体"/>
              </w:rPr>
            </w:pPr>
            <w:r>
              <w:rPr>
                <w:rFonts w:hint="eastAsia" w:ascii="宋体" w:hAnsi="宋体"/>
              </w:rPr>
              <w:t>论文须注明论文名称、论文作者、发表刊物名称、发表日期、刊物影响因子、他引次数等信息；专著须注明专著名称、出版单位名称、出版年份等信息。</w:t>
            </w:r>
          </w:p>
          <w:p>
            <w:pPr>
              <w:widowControl/>
              <w:spacing w:beforeLines="50" w:line="360" w:lineRule="auto"/>
              <w:ind w:left="482" w:hanging="480" w:hangingChars="200"/>
              <w:rPr>
                <w:rFonts w:ascii="Times New Roman" w:hAnsi="Times New Roman" w:eastAsia="宋体" w:cs="Times New Roman"/>
                <w:kern w:val="0"/>
                <w:sz w:val="24"/>
                <w:szCs w:val="24"/>
              </w:rPr>
            </w:pPr>
            <w:bookmarkStart w:id="0" w:name="OLE_LINK1"/>
            <w:bookmarkStart w:id="1" w:name="OLE_LINK2"/>
            <w:r>
              <w:rPr>
                <w:rFonts w:ascii="Times New Roman" w:hAnsi="Times New Roman" w:eastAsia="宋体" w:cs="Times New Roman"/>
                <w:b/>
                <w:kern w:val="0"/>
                <w:sz w:val="24"/>
                <w:szCs w:val="24"/>
              </w:rPr>
              <w:t>撰写专著中一章</w:t>
            </w:r>
            <w:r>
              <w:rPr>
                <w:rFonts w:hint="eastAsia" w:ascii="Times New Roman" w:hAnsi="Times New Roman" w:eastAsia="宋体" w:cs="Times New Roman"/>
                <w:b/>
                <w:kern w:val="0"/>
                <w:sz w:val="24"/>
                <w:szCs w:val="24"/>
              </w:rPr>
              <w:t>节</w:t>
            </w:r>
            <w:r>
              <w:rPr>
                <w:rFonts w:ascii="Times New Roman" w:hAnsi="Times New Roman" w:eastAsia="宋体" w:cs="Times New Roman"/>
                <w:kern w:val="0"/>
                <w:sz w:val="24"/>
                <w:szCs w:val="24"/>
              </w:rPr>
              <w:t>：</w:t>
            </w:r>
            <w:r>
              <w:rPr>
                <w:rFonts w:ascii="Times New Roman" w:hAnsi="Times New Roman" w:eastAsia="宋体" w:cs="Times New Roman"/>
                <w:b/>
                <w:kern w:val="0"/>
                <w:sz w:val="24"/>
                <w:szCs w:val="24"/>
              </w:rPr>
              <w:t>Chun-Hua Lu</w:t>
            </w:r>
            <w:r>
              <w:rPr>
                <w:rFonts w:ascii="Times New Roman" w:hAnsi="Times New Roman" w:eastAsia="宋体" w:cs="Times New Roman"/>
                <w:kern w:val="0"/>
                <w:sz w:val="24"/>
                <w:szCs w:val="24"/>
              </w:rPr>
              <w:t>, Xiu-Juan Qi, Juan Li, Huang-Hao Yang, (2015). Aptamer-Based Hydrogels and Their Applications. In Aptamers Selected by Cell-SELEX for Theranostics (pp. 163-195). Springer Berlin Heidelberg.</w:t>
            </w:r>
          </w:p>
          <w:p>
            <w:pPr>
              <w:widowControl/>
              <w:spacing w:line="360" w:lineRule="auto"/>
              <w:ind w:left="482" w:hanging="480" w:hangingChars="200"/>
              <w:rPr>
                <w:rFonts w:ascii="Times New Roman" w:hAnsi="Times New Roman" w:eastAsia="宋体" w:cs="Times New Roman"/>
                <w:b/>
                <w:kern w:val="0"/>
                <w:sz w:val="24"/>
                <w:szCs w:val="24"/>
              </w:rPr>
            </w:pPr>
            <w:r>
              <w:rPr>
                <w:rFonts w:ascii="Times New Roman" w:hAnsi="Times New Roman" w:eastAsia="宋体" w:cs="Times New Roman"/>
                <w:b/>
                <w:kern w:val="0"/>
                <w:sz w:val="24"/>
                <w:szCs w:val="24"/>
              </w:rPr>
              <w:t>发表论文：</w:t>
            </w:r>
            <w:bookmarkEnd w:id="0"/>
            <w:bookmarkEnd w:id="1"/>
          </w:p>
          <w:p>
            <w:pPr>
              <w:spacing w:line="360" w:lineRule="auto"/>
              <w:ind w:left="480" w:hanging="480" w:hangingChars="200"/>
              <w:rPr>
                <w:rFonts w:ascii="Times New Roman" w:hAnsi="Times New Roman" w:eastAsia="宋体" w:cs="Times New Roman"/>
                <w:kern w:val="0"/>
                <w:sz w:val="24"/>
                <w:szCs w:val="24"/>
              </w:rPr>
            </w:pPr>
            <w:r>
              <w:rPr>
                <w:rFonts w:ascii="Times New Roman" w:hAnsi="Times New Roman" w:eastAsia="宋体" w:cs="Times New Roman"/>
                <w:sz w:val="24"/>
                <w:szCs w:val="24"/>
              </w:rPr>
              <w:t xml:space="preserve">(1) Kaimei Ke, Wen Yang, Xiaoli Xie, Rui Liu, Li-Li Wang, Wei-Wen Lin, Guoming Huang, </w:t>
            </w:r>
            <w:r>
              <w:rPr>
                <w:rFonts w:ascii="Times New Roman" w:hAnsi="Times New Roman" w:eastAsia="宋体" w:cs="Times New Roman"/>
                <w:b/>
                <w:sz w:val="24"/>
                <w:szCs w:val="24"/>
              </w:rPr>
              <w:t>Chun-Hua Lu</w:t>
            </w:r>
            <w:r>
              <w:rPr>
                <w:rFonts w:ascii="Times New Roman" w:hAnsi="Times New Roman" w:eastAsia="宋体" w:cs="Times New Roman"/>
                <w:sz w:val="24"/>
                <w:szCs w:val="24"/>
              </w:rPr>
              <w:t xml:space="preserve">*, Huang-Hao Yang*.Copper Manganese Sulfide Nanoplates: A New Two-Dimensional Theranostic Nanoplatform for MRI/MSOT Dual-Modal Imaging-Guided Photothermal Therapy in the Second Near-Infrared Window. </w:t>
            </w:r>
            <w:r>
              <w:rPr>
                <w:rFonts w:ascii="Times New Roman" w:hAnsi="Times New Roman" w:eastAsia="宋体" w:cs="Times New Roman"/>
                <w:b/>
                <w:i/>
                <w:sz w:val="24"/>
                <w:szCs w:val="24"/>
              </w:rPr>
              <w:t>Theranostics</w:t>
            </w:r>
            <w:r>
              <w:rPr>
                <w:rFonts w:ascii="Times New Roman" w:hAnsi="Times New Roman" w:eastAsia="宋体" w:cs="Times New Roman"/>
                <w:sz w:val="24"/>
                <w:szCs w:val="24"/>
              </w:rPr>
              <w:t xml:space="preserve">, 2017, 7, 4763-4776. </w:t>
            </w:r>
            <w:r>
              <w:rPr>
                <w:rFonts w:ascii="Times New Roman" w:hAnsi="Times New Roman" w:eastAsia="宋体" w:cs="Times New Roman"/>
                <w:kern w:val="0"/>
                <w:sz w:val="24"/>
                <w:szCs w:val="24"/>
              </w:rPr>
              <w:t>(</w:t>
            </w:r>
            <w:r>
              <w:rPr>
                <w:rFonts w:ascii="Times New Roman" w:hAnsi="Times New Roman" w:eastAsia="宋体" w:cs="Times New Roman"/>
                <w:b/>
                <w:kern w:val="0"/>
                <w:sz w:val="24"/>
                <w:szCs w:val="24"/>
              </w:rPr>
              <w:t>影响因子=8.766</w:t>
            </w:r>
            <w:r>
              <w:rPr>
                <w:rFonts w:ascii="Times New Roman" w:hAnsi="Times New Roman" w:eastAsia="宋体" w:cs="Times New Roman"/>
                <w:kern w:val="0"/>
                <w:sz w:val="24"/>
                <w:szCs w:val="24"/>
              </w:rPr>
              <w:t>)</w:t>
            </w:r>
          </w:p>
          <w:p>
            <w:pPr>
              <w:spacing w:line="360" w:lineRule="auto"/>
              <w:ind w:left="480" w:hanging="480" w:hangingChars="200"/>
              <w:rPr>
                <w:rFonts w:ascii="Times New Roman" w:hAnsi="Times New Roman" w:eastAsia="宋体" w:cs="Times New Roman"/>
                <w:sz w:val="24"/>
                <w:szCs w:val="24"/>
              </w:rPr>
            </w:pPr>
            <w:r>
              <w:rPr>
                <w:rFonts w:ascii="Times New Roman" w:hAnsi="Times New Roman" w:eastAsia="宋体" w:cs="Times New Roman"/>
                <w:sz w:val="24"/>
                <w:szCs w:val="24"/>
              </w:rPr>
              <w:t xml:space="preserve">(2) Yongqiang Dong, Qian Wang, Haishan Wu, Yingmei Chen, </w:t>
            </w:r>
            <w:r>
              <w:rPr>
                <w:rFonts w:ascii="Times New Roman" w:hAnsi="Times New Roman" w:eastAsia="宋体" w:cs="Times New Roman"/>
                <w:b/>
                <w:sz w:val="24"/>
                <w:szCs w:val="24"/>
              </w:rPr>
              <w:t>Chun-Hua Lu</w:t>
            </w:r>
            <w:r>
              <w:rPr>
                <w:rFonts w:ascii="Times New Roman" w:hAnsi="Times New Roman" w:eastAsia="宋体" w:cs="Times New Roman"/>
                <w:sz w:val="24"/>
                <w:szCs w:val="24"/>
              </w:rPr>
              <w:t xml:space="preserve">*, Yuwu Chi*, Huang-Hao Yang*. Graphitic Carbon Nitride Materials: Sensing, Imaging and Therapy. </w:t>
            </w:r>
            <w:r>
              <w:rPr>
                <w:rFonts w:ascii="Times New Roman" w:hAnsi="Times New Roman" w:eastAsia="宋体" w:cs="Times New Roman"/>
                <w:b/>
                <w:i/>
                <w:sz w:val="24"/>
                <w:szCs w:val="24"/>
              </w:rPr>
              <w:t>Small</w:t>
            </w:r>
            <w:r>
              <w:rPr>
                <w:rFonts w:ascii="Times New Roman" w:hAnsi="Times New Roman" w:eastAsia="宋体" w:cs="Times New Roman"/>
                <w:sz w:val="24"/>
                <w:szCs w:val="24"/>
              </w:rPr>
              <w:t xml:space="preserve">, 2016, 12, 5376-5393. </w:t>
            </w:r>
            <w:r>
              <w:rPr>
                <w:rFonts w:ascii="Times New Roman" w:hAnsi="Times New Roman" w:eastAsia="宋体" w:cs="Times New Roman"/>
                <w:kern w:val="0"/>
                <w:sz w:val="24"/>
                <w:szCs w:val="24"/>
              </w:rPr>
              <w:t>(</w:t>
            </w:r>
            <w:r>
              <w:rPr>
                <w:rFonts w:ascii="Times New Roman" w:hAnsi="Times New Roman" w:eastAsia="宋体" w:cs="Times New Roman"/>
                <w:b/>
                <w:kern w:val="0"/>
                <w:sz w:val="24"/>
                <w:szCs w:val="24"/>
              </w:rPr>
              <w:t>影响因子=8.643</w:t>
            </w:r>
            <w:r>
              <w:rPr>
                <w:rFonts w:ascii="Times New Roman" w:hAnsi="Times New Roman" w:eastAsia="宋体" w:cs="Times New Roman"/>
                <w:kern w:val="0"/>
                <w:sz w:val="24"/>
                <w:szCs w:val="24"/>
              </w:rPr>
              <w:t>)</w:t>
            </w:r>
          </w:p>
          <w:p>
            <w:pPr>
              <w:spacing w:line="360" w:lineRule="auto"/>
              <w:ind w:left="480" w:hanging="480" w:hangingChars="200"/>
              <w:rPr>
                <w:rFonts w:ascii="Times New Roman" w:hAnsi="Times New Roman" w:eastAsia="宋体" w:cs="Times New Roman"/>
                <w:sz w:val="24"/>
                <w:szCs w:val="24"/>
              </w:rPr>
            </w:pPr>
            <w:r>
              <w:rPr>
                <w:rFonts w:ascii="Times New Roman" w:hAnsi="Times New Roman" w:eastAsia="宋体" w:cs="Times New Roman"/>
                <w:sz w:val="24"/>
                <w:szCs w:val="24"/>
              </w:rPr>
              <w:t xml:space="preserve">(3) Yongqiang Dong, Qingqing Fang, Huan Wu, Lisi Wan, Yuhong Lin, </w:t>
            </w:r>
            <w:r>
              <w:rPr>
                <w:rFonts w:ascii="Times New Roman" w:hAnsi="Times New Roman" w:eastAsia="宋体" w:cs="Times New Roman"/>
                <w:b/>
                <w:sz w:val="24"/>
                <w:szCs w:val="24"/>
              </w:rPr>
              <w:t>Chun-Hua Lu</w:t>
            </w:r>
            <w:r>
              <w:rPr>
                <w:rFonts w:ascii="Times New Roman" w:hAnsi="Times New Roman" w:eastAsia="宋体" w:cs="Times New Roman"/>
                <w:sz w:val="24"/>
                <w:szCs w:val="24"/>
              </w:rPr>
              <w:t xml:space="preserve">*, Yuwu Chi*, Huang-Hao Yang. Fullerene-Structural Carbon-Based Dots from C-60 Molecules and their Optical Properties. </w:t>
            </w:r>
            <w:r>
              <w:rPr>
                <w:rFonts w:ascii="Times New Roman" w:hAnsi="Times New Roman" w:eastAsia="宋体" w:cs="Times New Roman"/>
                <w:b/>
                <w:i/>
                <w:sz w:val="24"/>
                <w:szCs w:val="24"/>
              </w:rPr>
              <w:t>Part. Part. Syst. Char.</w:t>
            </w:r>
            <w:r>
              <w:rPr>
                <w:rFonts w:ascii="Times New Roman" w:hAnsi="Times New Roman" w:eastAsia="宋体" w:cs="Times New Roman"/>
                <w:sz w:val="24"/>
                <w:szCs w:val="24"/>
              </w:rPr>
              <w:t>, 2016, 33, 916-923.</w:t>
            </w:r>
            <w:r>
              <w:rPr>
                <w:rFonts w:ascii="Times New Roman" w:hAnsi="Times New Roman" w:eastAsia="宋体" w:cs="Times New Roman"/>
                <w:kern w:val="0"/>
                <w:sz w:val="24"/>
                <w:szCs w:val="24"/>
              </w:rPr>
              <w:t xml:space="preserve"> (</w:t>
            </w:r>
            <w:r>
              <w:rPr>
                <w:rFonts w:ascii="Times New Roman" w:hAnsi="Times New Roman" w:eastAsia="宋体" w:cs="Times New Roman"/>
                <w:b/>
                <w:kern w:val="0"/>
                <w:sz w:val="24"/>
                <w:szCs w:val="24"/>
              </w:rPr>
              <w:t>影响因子=4.474</w:t>
            </w:r>
            <w:r>
              <w:rPr>
                <w:rFonts w:ascii="Times New Roman" w:hAnsi="Times New Roman" w:eastAsia="宋体" w:cs="Times New Roman"/>
                <w:kern w:val="0"/>
                <w:sz w:val="24"/>
                <w:szCs w:val="24"/>
              </w:rPr>
              <w:t>)</w:t>
            </w:r>
          </w:p>
          <w:p>
            <w:pPr>
              <w:spacing w:line="360" w:lineRule="auto"/>
              <w:ind w:left="480" w:hanging="480" w:hangingChars="200"/>
              <w:rPr>
                <w:rFonts w:ascii="Times New Roman" w:hAnsi="Times New Roman" w:eastAsia="宋体" w:cs="Times New Roman"/>
                <w:sz w:val="24"/>
                <w:szCs w:val="24"/>
              </w:rPr>
            </w:pPr>
            <w:r>
              <w:rPr>
                <w:rFonts w:ascii="Times New Roman" w:hAnsi="Times New Roman" w:eastAsia="宋体" w:cs="Times New Roman"/>
                <w:sz w:val="24"/>
                <w:szCs w:val="24"/>
              </w:rPr>
              <w:t xml:space="preserve">(4) </w:t>
            </w:r>
            <w:r>
              <w:rPr>
                <w:rFonts w:ascii="Times New Roman" w:hAnsi="Times New Roman" w:eastAsia="宋体" w:cs="Times New Roman"/>
                <w:b/>
                <w:sz w:val="24"/>
                <w:szCs w:val="24"/>
              </w:rPr>
              <w:t>Chun-Hua Lu</w:t>
            </w:r>
            <w:r>
              <w:rPr>
                <w:rFonts w:ascii="Times New Roman" w:hAnsi="Times New Roman" w:eastAsia="宋体" w:cs="Times New Roman"/>
                <w:sz w:val="24"/>
                <w:szCs w:val="24"/>
              </w:rPr>
              <w:t xml:space="preserve">, Alessandro Cecconello, and Itamar Willner*. Recent Advances in the Synthesis and Functions of Reconfigurable Interlocked DNA Nanostructures. </w:t>
            </w:r>
            <w:r>
              <w:rPr>
                <w:rFonts w:ascii="Times New Roman" w:hAnsi="Times New Roman" w:eastAsia="宋体" w:cs="Times New Roman"/>
                <w:b/>
                <w:i/>
                <w:sz w:val="24"/>
                <w:szCs w:val="24"/>
              </w:rPr>
              <w:t>J. Am. Chem. Soc.</w:t>
            </w:r>
            <w:r>
              <w:rPr>
                <w:rFonts w:ascii="Times New Roman" w:hAnsi="Times New Roman" w:eastAsia="宋体" w:cs="Times New Roman"/>
                <w:sz w:val="24"/>
                <w:szCs w:val="24"/>
              </w:rPr>
              <w:t>, 2016, 138, 5172-5185.</w:t>
            </w:r>
            <w:r>
              <w:rPr>
                <w:rFonts w:ascii="Times New Roman" w:hAnsi="Times New Roman" w:eastAsia="宋体" w:cs="Times New Roman"/>
                <w:kern w:val="0"/>
                <w:sz w:val="24"/>
                <w:szCs w:val="24"/>
              </w:rPr>
              <w:t xml:space="preserve"> (</w:t>
            </w:r>
            <w:r>
              <w:rPr>
                <w:rFonts w:ascii="Times New Roman" w:hAnsi="Times New Roman" w:eastAsia="宋体" w:cs="Times New Roman"/>
                <w:b/>
                <w:kern w:val="0"/>
                <w:sz w:val="24"/>
                <w:szCs w:val="24"/>
              </w:rPr>
              <w:t>影响因子=13.858</w:t>
            </w:r>
            <w:r>
              <w:rPr>
                <w:rFonts w:ascii="Times New Roman" w:hAnsi="Times New Roman" w:eastAsia="宋体" w:cs="Times New Roman"/>
                <w:kern w:val="0"/>
                <w:sz w:val="24"/>
                <w:szCs w:val="24"/>
              </w:rPr>
              <w:t>)</w:t>
            </w:r>
          </w:p>
          <w:p>
            <w:pPr>
              <w:spacing w:line="360" w:lineRule="auto"/>
              <w:ind w:left="480" w:hanging="480" w:hangingChars="200"/>
              <w:rPr>
                <w:rFonts w:ascii="Times New Roman" w:hAnsi="Times New Roman" w:eastAsia="宋体" w:cs="Times New Roman"/>
                <w:color w:val="000000" w:themeColor="text1"/>
                <w:sz w:val="24"/>
                <w:szCs w:val="24"/>
              </w:rPr>
            </w:pPr>
            <w:r>
              <w:rPr>
                <w:rFonts w:ascii="Times New Roman" w:hAnsi="Times New Roman" w:eastAsia="宋体" w:cs="Times New Roman"/>
                <w:sz w:val="24"/>
                <w:szCs w:val="24"/>
              </w:rPr>
              <w:t xml:space="preserve">(5) </w:t>
            </w:r>
            <w:r>
              <w:rPr>
                <w:rFonts w:ascii="Times New Roman" w:hAnsi="Times New Roman" w:eastAsia="宋体" w:cs="Times New Roman"/>
                <w:b/>
                <w:color w:val="000000" w:themeColor="text1"/>
                <w:sz w:val="24"/>
                <w:szCs w:val="24"/>
              </w:rPr>
              <w:t>Chun-Hua Lu</w:t>
            </w:r>
            <w:r>
              <w:rPr>
                <w:rFonts w:ascii="Times New Roman" w:hAnsi="Times New Roman" w:eastAsia="宋体" w:cs="Times New Roman"/>
                <w:color w:val="000000" w:themeColor="text1"/>
                <w:sz w:val="24"/>
                <w:szCs w:val="24"/>
              </w:rPr>
              <w:t xml:space="preserve">, Alessandro Cecconello, Xiu-Juan Qi, Na Wu, Stefan-Sven Jester*, Michael Famulok, Michael Matthies, Thorsten-Lars Schmidt, and Itamar Willner*. Switchable Reconfiguration of a Seven-Ring Interlocked DNA Catenane Nanostructure. </w:t>
            </w:r>
            <w:r>
              <w:rPr>
                <w:rFonts w:ascii="Times New Roman" w:hAnsi="Times New Roman" w:eastAsia="宋体" w:cs="Times New Roman"/>
                <w:b/>
                <w:i/>
                <w:sz w:val="24"/>
                <w:szCs w:val="24"/>
              </w:rPr>
              <w:t>Nano Lett.</w:t>
            </w:r>
            <w:r>
              <w:rPr>
                <w:rFonts w:ascii="Times New Roman" w:hAnsi="Times New Roman" w:eastAsia="宋体" w:cs="Times New Roman"/>
                <w:color w:val="000000" w:themeColor="text1"/>
                <w:sz w:val="24"/>
                <w:szCs w:val="24"/>
              </w:rPr>
              <w:t>, 2015, 15, 7133-7137.</w:t>
            </w:r>
            <w:r>
              <w:rPr>
                <w:rFonts w:ascii="Times New Roman" w:hAnsi="Times New Roman" w:eastAsia="宋体" w:cs="Times New Roman"/>
                <w:kern w:val="0"/>
                <w:sz w:val="24"/>
                <w:szCs w:val="24"/>
              </w:rPr>
              <w:t xml:space="preserve"> (</w:t>
            </w:r>
            <w:r>
              <w:rPr>
                <w:rFonts w:ascii="Times New Roman" w:hAnsi="Times New Roman" w:eastAsia="宋体" w:cs="Times New Roman"/>
                <w:b/>
                <w:kern w:val="0"/>
                <w:sz w:val="24"/>
                <w:szCs w:val="24"/>
              </w:rPr>
              <w:t>影响因子=12</w:t>
            </w:r>
            <w:r>
              <w:rPr>
                <w:rFonts w:hint="eastAsia" w:ascii="Times New Roman" w:hAnsi="Times New Roman" w:eastAsia="宋体" w:cs="Times New Roman"/>
                <w:b/>
                <w:kern w:val="0"/>
                <w:sz w:val="24"/>
                <w:szCs w:val="24"/>
              </w:rPr>
              <w:t>.</w:t>
            </w:r>
            <w:r>
              <w:rPr>
                <w:rFonts w:ascii="Times New Roman" w:hAnsi="Times New Roman" w:eastAsia="宋体" w:cs="Times New Roman"/>
                <w:b/>
                <w:kern w:val="0"/>
                <w:sz w:val="24"/>
                <w:szCs w:val="24"/>
              </w:rPr>
              <w:t>712</w:t>
            </w:r>
            <w:r>
              <w:rPr>
                <w:rFonts w:ascii="Times New Roman" w:hAnsi="Times New Roman" w:eastAsia="宋体" w:cs="Times New Roman"/>
                <w:kern w:val="0"/>
                <w:sz w:val="24"/>
                <w:szCs w:val="24"/>
              </w:rPr>
              <w:t>)</w:t>
            </w:r>
          </w:p>
          <w:p>
            <w:pPr>
              <w:spacing w:line="360" w:lineRule="auto"/>
              <w:ind w:left="480" w:hanging="480" w:hangingChars="200"/>
              <w:rPr>
                <w:rFonts w:ascii="Times New Roman" w:hAnsi="Times New Roman" w:eastAsia="宋体" w:cs="Times New Roman"/>
                <w:kern w:val="0"/>
                <w:sz w:val="24"/>
                <w:szCs w:val="24"/>
              </w:rPr>
            </w:pPr>
            <w:r>
              <w:rPr>
                <w:rFonts w:ascii="Times New Roman" w:hAnsi="Times New Roman" w:eastAsia="宋体" w:cs="Times New Roman"/>
                <w:sz w:val="24"/>
                <w:szCs w:val="24"/>
              </w:rPr>
              <w:t xml:space="preserve">(6) </w:t>
            </w:r>
            <w:r>
              <w:rPr>
                <w:rFonts w:ascii="Times New Roman" w:hAnsi="Times New Roman" w:eastAsia="宋体" w:cs="Times New Roman"/>
                <w:b/>
                <w:sz w:val="24"/>
                <w:szCs w:val="24"/>
              </w:rPr>
              <w:t>Chun-Hua Lu</w:t>
            </w:r>
            <w:r>
              <w:rPr>
                <w:rFonts w:ascii="Times New Roman" w:hAnsi="Times New Roman" w:eastAsia="宋体" w:cs="Times New Roman"/>
                <w:sz w:val="24"/>
                <w:szCs w:val="24"/>
              </w:rPr>
              <w:t xml:space="preserve">, Weiwei Guo, Yuwei Hu, Xiu-Juan Qi, and Itamar Willner*. Multi-Triggered Shape-Memory Acrylamide-DNA Hydrogels. </w:t>
            </w:r>
            <w:r>
              <w:rPr>
                <w:rFonts w:ascii="Times New Roman" w:hAnsi="Times New Roman" w:eastAsia="宋体" w:cs="Times New Roman"/>
                <w:b/>
                <w:i/>
                <w:sz w:val="24"/>
                <w:szCs w:val="24"/>
              </w:rPr>
              <w:t>J. Am. Chem. Soc.</w:t>
            </w:r>
            <w:r>
              <w:rPr>
                <w:rFonts w:ascii="Times New Roman" w:hAnsi="Times New Roman" w:eastAsia="宋体" w:cs="Times New Roman"/>
                <w:sz w:val="24"/>
                <w:szCs w:val="24"/>
              </w:rPr>
              <w:t>, 2015, 137, 15723-15731.</w:t>
            </w:r>
            <w:r>
              <w:rPr>
                <w:rFonts w:ascii="Times New Roman" w:hAnsi="Times New Roman" w:eastAsia="宋体" w:cs="Times New Roman"/>
                <w:sz w:val="24"/>
                <w:szCs w:val="24"/>
              </w:rPr>
              <w:tab/>
            </w:r>
            <w:r>
              <w:rPr>
                <w:rFonts w:ascii="Times New Roman" w:hAnsi="Times New Roman" w:eastAsia="宋体" w:cs="Times New Roman"/>
                <w:kern w:val="0"/>
                <w:sz w:val="24"/>
                <w:szCs w:val="24"/>
              </w:rPr>
              <w:t>(</w:t>
            </w:r>
            <w:r>
              <w:rPr>
                <w:rFonts w:ascii="Times New Roman" w:hAnsi="Times New Roman" w:eastAsia="宋体" w:cs="Times New Roman"/>
                <w:b/>
                <w:kern w:val="0"/>
                <w:sz w:val="24"/>
                <w:szCs w:val="24"/>
              </w:rPr>
              <w:t>影响因子=13.858</w:t>
            </w:r>
            <w:r>
              <w:rPr>
                <w:rFonts w:ascii="Times New Roman" w:hAnsi="Times New Roman" w:eastAsia="宋体" w:cs="Times New Roman"/>
                <w:kern w:val="0"/>
                <w:sz w:val="24"/>
                <w:szCs w:val="24"/>
              </w:rPr>
              <w:t>)</w:t>
            </w:r>
          </w:p>
          <w:p>
            <w:pPr>
              <w:spacing w:line="324" w:lineRule="auto"/>
              <w:ind w:left="480" w:hanging="480" w:hangingChars="200"/>
              <w:rPr>
                <w:rFonts w:ascii="Times New Roman" w:hAnsi="Times New Roman" w:eastAsia="宋体" w:cs="Times New Roman"/>
                <w:sz w:val="24"/>
                <w:szCs w:val="24"/>
              </w:rPr>
            </w:pPr>
            <w:r>
              <w:rPr>
                <w:rFonts w:ascii="Times New Roman" w:hAnsi="Times New Roman" w:eastAsia="宋体" w:cs="Times New Roman"/>
                <w:sz w:val="24"/>
                <w:szCs w:val="24"/>
              </w:rPr>
              <w:t xml:space="preserve">(7) </w:t>
            </w:r>
            <w:r>
              <w:rPr>
                <w:rFonts w:ascii="Times New Roman" w:hAnsi="Times New Roman" w:eastAsia="宋体" w:cs="Times New Roman"/>
                <w:b/>
                <w:sz w:val="24"/>
                <w:szCs w:val="24"/>
              </w:rPr>
              <w:t>Chun-Hua Lu</w:t>
            </w:r>
            <w:r>
              <w:rPr>
                <w:rFonts w:ascii="Times New Roman" w:hAnsi="Times New Roman" w:eastAsia="宋体" w:cs="Times New Roman"/>
                <w:sz w:val="24"/>
                <w:szCs w:val="24"/>
              </w:rPr>
              <w:t xml:space="preserve"> and Itamar Willner*. Stimuli-Responsive DNA-Functionalized Nano-/Microcontainers for Switchable and Controlled Release. </w:t>
            </w:r>
            <w:r>
              <w:rPr>
                <w:rFonts w:ascii="Times New Roman" w:hAnsi="Times New Roman" w:eastAsia="宋体" w:cs="Times New Roman"/>
                <w:b/>
                <w:i/>
                <w:sz w:val="24"/>
                <w:szCs w:val="24"/>
              </w:rPr>
              <w:t>Angew. Chem. Int. Ed.</w:t>
            </w:r>
            <w:r>
              <w:rPr>
                <w:rFonts w:ascii="Times New Roman" w:hAnsi="Times New Roman" w:eastAsia="宋体" w:cs="Times New Roman"/>
                <w:sz w:val="24"/>
                <w:szCs w:val="24"/>
              </w:rPr>
              <w:t xml:space="preserve">, 2015, 54, 12212-12235. </w:t>
            </w:r>
            <w:r>
              <w:rPr>
                <w:rFonts w:ascii="Times New Roman" w:hAnsi="Times New Roman" w:eastAsia="宋体" w:cs="Times New Roman"/>
                <w:kern w:val="0"/>
                <w:sz w:val="24"/>
                <w:szCs w:val="24"/>
              </w:rPr>
              <w:t>(</w:t>
            </w:r>
            <w:r>
              <w:rPr>
                <w:rFonts w:ascii="Times New Roman" w:hAnsi="Times New Roman" w:eastAsia="宋体" w:cs="Times New Roman"/>
                <w:b/>
                <w:kern w:val="0"/>
                <w:sz w:val="24"/>
                <w:szCs w:val="24"/>
              </w:rPr>
              <w:t>影响因子=11.994</w:t>
            </w:r>
            <w:r>
              <w:rPr>
                <w:rFonts w:ascii="Times New Roman" w:hAnsi="Times New Roman" w:eastAsia="宋体" w:cs="Times New Roman"/>
                <w:kern w:val="0"/>
                <w:sz w:val="24"/>
                <w:szCs w:val="24"/>
              </w:rPr>
              <w:t>)</w:t>
            </w:r>
          </w:p>
          <w:p>
            <w:pPr>
              <w:spacing w:line="324" w:lineRule="auto"/>
              <w:ind w:left="480" w:hanging="480" w:hangingChars="200"/>
              <w:rPr>
                <w:rFonts w:ascii="Times New Roman" w:hAnsi="Times New Roman" w:eastAsia="宋体" w:cs="Times New Roman"/>
                <w:sz w:val="24"/>
                <w:szCs w:val="24"/>
              </w:rPr>
            </w:pPr>
            <w:r>
              <w:rPr>
                <w:rFonts w:ascii="Times New Roman" w:hAnsi="Times New Roman" w:eastAsia="宋体" w:cs="Times New Roman"/>
                <w:sz w:val="24"/>
                <w:szCs w:val="24"/>
              </w:rPr>
              <w:t xml:space="preserve">(8) Weiwei Guo†, </w:t>
            </w:r>
            <w:r>
              <w:rPr>
                <w:rFonts w:ascii="Times New Roman" w:hAnsi="Times New Roman" w:eastAsia="宋体" w:cs="Times New Roman"/>
                <w:b/>
                <w:sz w:val="24"/>
                <w:szCs w:val="24"/>
              </w:rPr>
              <w:t>Chun-Hua Lu</w:t>
            </w:r>
            <w:r>
              <w:rPr>
                <w:rFonts w:ascii="Times New Roman" w:hAnsi="Times New Roman" w:eastAsia="宋体" w:cs="Times New Roman"/>
                <w:sz w:val="24"/>
                <w:szCs w:val="24"/>
              </w:rPr>
              <w:t xml:space="preserve">†,Ron Orbach, Fuan Wang, Xiu-Juan Qi, Alessandro Cecconello, Dror Seliktar and Itamar Willner*. pH-Stimulated DNA Hydrogels Exhibiting Shape-Memory Properties. </w:t>
            </w:r>
            <w:r>
              <w:rPr>
                <w:rFonts w:ascii="Times New Roman" w:hAnsi="Times New Roman" w:eastAsia="宋体" w:cs="Times New Roman"/>
                <w:b/>
                <w:i/>
                <w:sz w:val="24"/>
                <w:szCs w:val="24"/>
              </w:rPr>
              <w:t>Adv. Mater.</w:t>
            </w:r>
            <w:r>
              <w:rPr>
                <w:rFonts w:ascii="Times New Roman" w:hAnsi="Times New Roman" w:eastAsia="宋体" w:cs="Times New Roman"/>
                <w:sz w:val="24"/>
                <w:szCs w:val="24"/>
              </w:rPr>
              <w:t>, 2015, 27, 73-78. (†共同第一作者)</w:t>
            </w:r>
            <w:r>
              <w:rPr>
                <w:rFonts w:ascii="Times New Roman" w:hAnsi="Times New Roman" w:eastAsia="宋体" w:cs="Times New Roman"/>
                <w:kern w:val="0"/>
                <w:sz w:val="24"/>
                <w:szCs w:val="24"/>
              </w:rPr>
              <w:t xml:space="preserve"> (</w:t>
            </w:r>
            <w:r>
              <w:rPr>
                <w:rFonts w:ascii="Times New Roman" w:hAnsi="Times New Roman" w:eastAsia="宋体" w:cs="Times New Roman"/>
                <w:b/>
                <w:kern w:val="0"/>
                <w:sz w:val="24"/>
                <w:szCs w:val="24"/>
              </w:rPr>
              <w:t>影响因子=19</w:t>
            </w:r>
            <w:r>
              <w:rPr>
                <w:rFonts w:hint="eastAsia" w:ascii="Times New Roman" w:hAnsi="Times New Roman" w:eastAsia="宋体" w:cs="Times New Roman"/>
                <w:b/>
                <w:kern w:val="0"/>
                <w:sz w:val="24"/>
                <w:szCs w:val="24"/>
              </w:rPr>
              <w:t>.</w:t>
            </w:r>
            <w:r>
              <w:rPr>
                <w:rFonts w:ascii="Times New Roman" w:hAnsi="Times New Roman" w:eastAsia="宋体" w:cs="Times New Roman"/>
                <w:b/>
                <w:kern w:val="0"/>
                <w:sz w:val="24"/>
                <w:szCs w:val="24"/>
              </w:rPr>
              <w:t>791</w:t>
            </w:r>
            <w:r>
              <w:rPr>
                <w:rFonts w:ascii="Times New Roman" w:hAnsi="Times New Roman" w:eastAsia="宋体" w:cs="Times New Roman"/>
                <w:kern w:val="0"/>
                <w:sz w:val="24"/>
                <w:szCs w:val="24"/>
              </w:rPr>
              <w:t>)</w:t>
            </w:r>
          </w:p>
          <w:p>
            <w:pPr>
              <w:spacing w:line="324" w:lineRule="auto"/>
              <w:ind w:left="480" w:hanging="480" w:hangingChars="200"/>
              <w:rPr>
                <w:rFonts w:ascii="Times New Roman" w:hAnsi="Times New Roman" w:eastAsia="宋体" w:cs="Times New Roman"/>
                <w:sz w:val="24"/>
                <w:szCs w:val="24"/>
              </w:rPr>
            </w:pPr>
            <w:r>
              <w:rPr>
                <w:rFonts w:ascii="Times New Roman" w:hAnsi="Times New Roman" w:eastAsia="宋体" w:cs="Times New Roman"/>
                <w:sz w:val="24"/>
                <w:szCs w:val="24"/>
              </w:rPr>
              <w:t xml:space="preserve">(9) </w:t>
            </w:r>
            <w:r>
              <w:rPr>
                <w:rFonts w:ascii="Times New Roman" w:hAnsi="Times New Roman" w:eastAsia="宋体" w:cs="Times New Roman"/>
                <w:b/>
                <w:sz w:val="24"/>
                <w:szCs w:val="24"/>
              </w:rPr>
              <w:t>Chun-Hua Lu</w:t>
            </w:r>
            <w:r>
              <w:rPr>
                <w:rFonts w:ascii="Times New Roman" w:hAnsi="Times New Roman" w:eastAsia="宋体" w:cs="Times New Roman"/>
                <w:sz w:val="24"/>
                <w:szCs w:val="24"/>
              </w:rPr>
              <w:t xml:space="preserve">, Xiu-Juan Qi, Alessandro Cecconello, Stefan-Sven Jester, Michael Famulok and Itamar Willner*. Switchable Reconfiguration of an Interlocked DNA Olympiadane Nanostructure. </w:t>
            </w:r>
            <w:r>
              <w:rPr>
                <w:rFonts w:ascii="Times New Roman" w:hAnsi="Times New Roman" w:eastAsia="宋体" w:cs="Times New Roman"/>
                <w:b/>
                <w:i/>
                <w:sz w:val="24"/>
                <w:szCs w:val="24"/>
              </w:rPr>
              <w:t>Angew. Chem. Int. Ed.</w:t>
            </w:r>
            <w:r>
              <w:rPr>
                <w:rFonts w:ascii="Times New Roman" w:hAnsi="Times New Roman" w:eastAsia="宋体" w:cs="Times New Roman"/>
                <w:sz w:val="24"/>
                <w:szCs w:val="24"/>
              </w:rPr>
              <w:t xml:space="preserve">, 2014, 53, 7499-7503. </w:t>
            </w:r>
            <w:r>
              <w:rPr>
                <w:rFonts w:ascii="Times New Roman" w:hAnsi="Times New Roman" w:eastAsia="宋体" w:cs="Times New Roman"/>
                <w:kern w:val="0"/>
                <w:sz w:val="24"/>
                <w:szCs w:val="24"/>
              </w:rPr>
              <w:t>(</w:t>
            </w:r>
            <w:r>
              <w:rPr>
                <w:rFonts w:ascii="Times New Roman" w:hAnsi="Times New Roman" w:eastAsia="宋体" w:cs="Times New Roman"/>
                <w:b/>
                <w:kern w:val="0"/>
                <w:sz w:val="24"/>
                <w:szCs w:val="24"/>
              </w:rPr>
              <w:t>影响因子=11.994</w:t>
            </w:r>
            <w:r>
              <w:rPr>
                <w:rFonts w:ascii="Times New Roman" w:hAnsi="Times New Roman" w:eastAsia="宋体" w:cs="Times New Roman"/>
                <w:kern w:val="0"/>
                <w:sz w:val="24"/>
                <w:szCs w:val="24"/>
              </w:rPr>
              <w:t>)</w:t>
            </w:r>
          </w:p>
          <w:p>
            <w:pPr>
              <w:spacing w:line="324" w:lineRule="auto"/>
              <w:ind w:left="480" w:hanging="480" w:hangingChars="200"/>
              <w:rPr>
                <w:rFonts w:ascii="Times New Roman" w:hAnsi="Times New Roman" w:eastAsia="宋体" w:cs="Times New Roman"/>
                <w:sz w:val="24"/>
                <w:szCs w:val="24"/>
              </w:rPr>
            </w:pPr>
            <w:r>
              <w:rPr>
                <w:rFonts w:ascii="Times New Roman" w:hAnsi="Times New Roman" w:eastAsia="宋体" w:cs="Times New Roman"/>
                <w:sz w:val="24"/>
                <w:szCs w:val="24"/>
              </w:rPr>
              <w:t xml:space="preserve">(10) Xiaoqing Liu†, </w:t>
            </w:r>
            <w:r>
              <w:rPr>
                <w:rFonts w:ascii="Times New Roman" w:hAnsi="Times New Roman" w:eastAsia="宋体" w:cs="Times New Roman"/>
                <w:b/>
                <w:sz w:val="24"/>
                <w:szCs w:val="24"/>
              </w:rPr>
              <w:t>Chun-Hua Lu</w:t>
            </w:r>
            <w:r>
              <w:rPr>
                <w:rFonts w:ascii="Times New Roman" w:hAnsi="Times New Roman" w:eastAsia="宋体" w:cs="Times New Roman"/>
                <w:sz w:val="24"/>
                <w:szCs w:val="24"/>
              </w:rPr>
              <w:t xml:space="preserve">† and Itamar Willner*. Switchable Reconfiguration of Nucleic Acid Nanostructures by Stimuli-Responsive DNA Machines. </w:t>
            </w:r>
            <w:r>
              <w:rPr>
                <w:rFonts w:ascii="Times New Roman" w:hAnsi="Times New Roman" w:eastAsia="宋体" w:cs="Times New Roman"/>
                <w:b/>
                <w:i/>
                <w:sz w:val="24"/>
                <w:szCs w:val="24"/>
              </w:rPr>
              <w:t>Acc. Chem. Res.</w:t>
            </w:r>
            <w:r>
              <w:rPr>
                <w:rFonts w:ascii="Times New Roman" w:hAnsi="Times New Roman" w:eastAsia="宋体" w:cs="Times New Roman"/>
                <w:sz w:val="24"/>
                <w:szCs w:val="24"/>
              </w:rPr>
              <w:t>, 2014, 47, 1673-1680 (†共同第一作者)</w:t>
            </w:r>
            <w:r>
              <w:rPr>
                <w:rFonts w:ascii="Times New Roman" w:hAnsi="Times New Roman" w:eastAsia="宋体" w:cs="Times New Roman"/>
                <w:kern w:val="0"/>
                <w:sz w:val="24"/>
                <w:szCs w:val="24"/>
              </w:rPr>
              <w:t xml:space="preserve"> (</w:t>
            </w:r>
            <w:r>
              <w:rPr>
                <w:rFonts w:ascii="Times New Roman" w:hAnsi="Times New Roman" w:eastAsia="宋体" w:cs="Times New Roman"/>
                <w:b/>
                <w:kern w:val="0"/>
                <w:sz w:val="24"/>
                <w:szCs w:val="24"/>
              </w:rPr>
              <w:t>影响因子=20</w:t>
            </w:r>
            <w:r>
              <w:rPr>
                <w:rFonts w:hint="eastAsia" w:ascii="Times New Roman" w:hAnsi="Times New Roman" w:eastAsia="宋体" w:cs="Times New Roman"/>
                <w:b/>
                <w:kern w:val="0"/>
                <w:sz w:val="24"/>
                <w:szCs w:val="24"/>
              </w:rPr>
              <w:t>.</w:t>
            </w:r>
            <w:r>
              <w:rPr>
                <w:rFonts w:ascii="Times New Roman" w:hAnsi="Times New Roman" w:eastAsia="宋体" w:cs="Times New Roman"/>
                <w:b/>
                <w:kern w:val="0"/>
                <w:sz w:val="24"/>
                <w:szCs w:val="24"/>
              </w:rPr>
              <w:t>268</w:t>
            </w:r>
            <w:r>
              <w:rPr>
                <w:rFonts w:ascii="Times New Roman" w:hAnsi="Times New Roman" w:eastAsia="宋体" w:cs="Times New Roman"/>
                <w:kern w:val="0"/>
                <w:sz w:val="24"/>
                <w:szCs w:val="24"/>
              </w:rPr>
              <w:t>)</w:t>
            </w:r>
          </w:p>
          <w:p>
            <w:pPr>
              <w:spacing w:line="324" w:lineRule="auto"/>
              <w:ind w:left="480" w:hanging="480" w:hangingChars="200"/>
              <w:rPr>
                <w:rFonts w:ascii="Times New Roman" w:hAnsi="Times New Roman" w:eastAsia="宋体" w:cs="Times New Roman"/>
                <w:sz w:val="24"/>
                <w:szCs w:val="24"/>
              </w:rPr>
            </w:pPr>
            <w:r>
              <w:rPr>
                <w:rFonts w:ascii="Times New Roman" w:hAnsi="Times New Roman" w:eastAsia="宋体" w:cs="Times New Roman"/>
                <w:sz w:val="24"/>
                <w:szCs w:val="24"/>
              </w:rPr>
              <w:t xml:space="preserve">(11) Fuan Wang†, </w:t>
            </w:r>
            <w:r>
              <w:rPr>
                <w:rFonts w:ascii="Times New Roman" w:hAnsi="Times New Roman" w:eastAsia="宋体" w:cs="Times New Roman"/>
                <w:b/>
                <w:sz w:val="24"/>
                <w:szCs w:val="24"/>
              </w:rPr>
              <w:t>Chun-Hua Lu</w:t>
            </w:r>
            <w:r>
              <w:rPr>
                <w:rFonts w:ascii="Times New Roman" w:hAnsi="Times New Roman" w:eastAsia="宋体" w:cs="Times New Roman"/>
                <w:sz w:val="24"/>
                <w:szCs w:val="24"/>
              </w:rPr>
              <w:t>† and Itamar Willner*. From Cascaded Catalytic Nucleic Acids to Enzyme</w:t>
            </w:r>
            <w:r>
              <w:rPr>
                <w:rFonts w:ascii="Times New Roman" w:hAnsi="Times New Roman" w:eastAsia="微软雅黑" w:cs="Times New Roman"/>
                <w:sz w:val="24"/>
                <w:szCs w:val="24"/>
              </w:rPr>
              <w:t>−</w:t>
            </w:r>
            <w:r>
              <w:rPr>
                <w:rFonts w:ascii="Times New Roman" w:hAnsi="Times New Roman" w:eastAsia="宋体" w:cs="Times New Roman"/>
                <w:sz w:val="24"/>
                <w:szCs w:val="24"/>
              </w:rPr>
              <w:t xml:space="preserve">DNA Nanostructures: Controlling Reactivity, Sensing, Logic Operations, and Assembly of Complex Structures. </w:t>
            </w:r>
            <w:r>
              <w:rPr>
                <w:rFonts w:ascii="Times New Roman" w:hAnsi="Times New Roman" w:eastAsia="宋体" w:cs="Times New Roman"/>
                <w:b/>
                <w:i/>
                <w:sz w:val="24"/>
                <w:szCs w:val="24"/>
              </w:rPr>
              <w:t>Chem. Rev.</w:t>
            </w:r>
            <w:r>
              <w:rPr>
                <w:rFonts w:ascii="Times New Roman" w:hAnsi="Times New Roman" w:eastAsia="宋体" w:cs="Times New Roman"/>
                <w:sz w:val="24"/>
                <w:szCs w:val="24"/>
              </w:rPr>
              <w:t>, 2014, 114, 2881-2941. (†共同第一作者)</w:t>
            </w:r>
            <w:r>
              <w:rPr>
                <w:rFonts w:ascii="Times New Roman" w:hAnsi="Times New Roman" w:eastAsia="宋体" w:cs="Times New Roman"/>
                <w:kern w:val="0"/>
                <w:sz w:val="24"/>
                <w:szCs w:val="24"/>
              </w:rPr>
              <w:t xml:space="preserve"> (</w:t>
            </w:r>
            <w:r>
              <w:rPr>
                <w:rFonts w:ascii="Times New Roman" w:hAnsi="Times New Roman" w:eastAsia="宋体" w:cs="Times New Roman"/>
                <w:b/>
                <w:kern w:val="0"/>
                <w:sz w:val="24"/>
                <w:szCs w:val="24"/>
              </w:rPr>
              <w:t>影响因子=47</w:t>
            </w:r>
            <w:r>
              <w:rPr>
                <w:rFonts w:hint="eastAsia" w:ascii="Times New Roman" w:hAnsi="Times New Roman" w:eastAsia="宋体" w:cs="Times New Roman"/>
                <w:b/>
                <w:kern w:val="0"/>
                <w:sz w:val="24"/>
                <w:szCs w:val="24"/>
              </w:rPr>
              <w:t>.</w:t>
            </w:r>
            <w:r>
              <w:rPr>
                <w:rFonts w:ascii="Times New Roman" w:hAnsi="Times New Roman" w:eastAsia="宋体" w:cs="Times New Roman"/>
                <w:b/>
                <w:kern w:val="0"/>
                <w:sz w:val="24"/>
                <w:szCs w:val="24"/>
              </w:rPr>
              <w:t>928</w:t>
            </w:r>
            <w:r>
              <w:rPr>
                <w:rFonts w:ascii="Times New Roman" w:hAnsi="Times New Roman" w:eastAsia="宋体" w:cs="Times New Roman"/>
                <w:kern w:val="0"/>
                <w:sz w:val="24"/>
                <w:szCs w:val="24"/>
              </w:rPr>
              <w:t>)</w:t>
            </w:r>
          </w:p>
          <w:p>
            <w:pPr>
              <w:spacing w:line="324" w:lineRule="auto"/>
              <w:ind w:left="480" w:hanging="480" w:hangingChars="200"/>
              <w:rPr>
                <w:rFonts w:ascii="Times New Roman" w:hAnsi="Times New Roman" w:eastAsia="宋体" w:cs="Times New Roman"/>
                <w:sz w:val="24"/>
                <w:szCs w:val="24"/>
              </w:rPr>
            </w:pPr>
            <w:r>
              <w:rPr>
                <w:rFonts w:ascii="Times New Roman" w:hAnsi="Times New Roman" w:eastAsia="宋体" w:cs="Times New Roman"/>
                <w:sz w:val="24"/>
                <w:szCs w:val="24"/>
              </w:rPr>
              <w:t xml:space="preserve">(12) Fuan Wang†, </w:t>
            </w:r>
            <w:r>
              <w:rPr>
                <w:rFonts w:ascii="Times New Roman" w:hAnsi="Times New Roman" w:eastAsia="宋体" w:cs="Times New Roman"/>
                <w:b/>
                <w:sz w:val="24"/>
                <w:szCs w:val="24"/>
              </w:rPr>
              <w:t>Chun-Hua Lu</w:t>
            </w:r>
            <w:r>
              <w:rPr>
                <w:rFonts w:ascii="Times New Roman" w:hAnsi="Times New Roman" w:eastAsia="宋体" w:cs="Times New Roman"/>
                <w:sz w:val="24"/>
                <w:szCs w:val="24"/>
              </w:rPr>
              <w:t xml:space="preserve">†, Xiaoqing Liu, Lina Freage and Itamar Willner*. Amplified and Multiplexed Detection of DNA Using the Dendritic Rolling Circle Amplified Synthesis of DNAzyme Reporter Units. </w:t>
            </w:r>
            <w:r>
              <w:rPr>
                <w:rFonts w:ascii="Times New Roman" w:hAnsi="Times New Roman" w:eastAsia="宋体" w:cs="Times New Roman"/>
                <w:b/>
                <w:i/>
                <w:sz w:val="24"/>
                <w:szCs w:val="24"/>
              </w:rPr>
              <w:t>Anal. Chem.</w:t>
            </w:r>
            <w:r>
              <w:rPr>
                <w:rFonts w:ascii="Times New Roman" w:hAnsi="Times New Roman" w:eastAsia="宋体" w:cs="Times New Roman"/>
                <w:sz w:val="24"/>
                <w:szCs w:val="24"/>
              </w:rPr>
              <w:t>, 2014, 86, 1614-1621. (†共同第一作者)</w:t>
            </w:r>
            <w:r>
              <w:rPr>
                <w:rFonts w:ascii="Times New Roman" w:hAnsi="Times New Roman" w:eastAsia="宋体" w:cs="Times New Roman"/>
                <w:kern w:val="0"/>
                <w:sz w:val="24"/>
                <w:szCs w:val="24"/>
              </w:rPr>
              <w:t xml:space="preserve"> (</w:t>
            </w:r>
            <w:r>
              <w:rPr>
                <w:rFonts w:ascii="Times New Roman" w:hAnsi="Times New Roman" w:eastAsia="宋体" w:cs="Times New Roman"/>
                <w:b/>
                <w:kern w:val="0"/>
                <w:sz w:val="24"/>
                <w:szCs w:val="24"/>
              </w:rPr>
              <w:t>影响因子=6</w:t>
            </w:r>
            <w:r>
              <w:rPr>
                <w:rFonts w:hint="eastAsia" w:ascii="Times New Roman" w:hAnsi="Times New Roman" w:eastAsia="宋体" w:cs="Times New Roman"/>
                <w:b/>
                <w:kern w:val="0"/>
                <w:sz w:val="24"/>
                <w:szCs w:val="24"/>
              </w:rPr>
              <w:t>.</w:t>
            </w:r>
            <w:r>
              <w:rPr>
                <w:rFonts w:ascii="Times New Roman" w:hAnsi="Times New Roman" w:eastAsia="宋体" w:cs="Times New Roman"/>
                <w:b/>
                <w:kern w:val="0"/>
                <w:sz w:val="24"/>
                <w:szCs w:val="24"/>
              </w:rPr>
              <w:t>320</w:t>
            </w:r>
            <w:r>
              <w:rPr>
                <w:rFonts w:ascii="Times New Roman" w:hAnsi="Times New Roman" w:eastAsia="宋体" w:cs="Times New Roman"/>
                <w:kern w:val="0"/>
                <w:sz w:val="24"/>
                <w:szCs w:val="24"/>
              </w:rPr>
              <w:t>)</w:t>
            </w:r>
          </w:p>
          <w:p>
            <w:pPr>
              <w:spacing w:line="324" w:lineRule="auto"/>
              <w:ind w:left="480" w:hanging="480" w:hangingChars="200"/>
              <w:rPr>
                <w:rFonts w:ascii="Times New Roman" w:hAnsi="Times New Roman" w:eastAsia="宋体" w:cs="Times New Roman"/>
                <w:sz w:val="24"/>
                <w:szCs w:val="24"/>
              </w:rPr>
            </w:pPr>
            <w:r>
              <w:rPr>
                <w:rFonts w:ascii="Times New Roman" w:hAnsi="Times New Roman" w:eastAsia="宋体" w:cs="Times New Roman"/>
                <w:sz w:val="24"/>
                <w:szCs w:val="24"/>
              </w:rPr>
              <w:t xml:space="preserve">(13) </w:t>
            </w:r>
            <w:r>
              <w:rPr>
                <w:rFonts w:ascii="Times New Roman" w:hAnsi="Times New Roman" w:eastAsia="宋体" w:cs="Times New Roman"/>
                <w:b/>
                <w:sz w:val="24"/>
                <w:szCs w:val="24"/>
              </w:rPr>
              <w:t>Chun-Hua Lu</w:t>
            </w:r>
            <w:r>
              <w:rPr>
                <w:rFonts w:ascii="Times New Roman" w:hAnsi="Times New Roman" w:eastAsia="宋体" w:cs="Times New Roman"/>
                <w:sz w:val="24"/>
                <w:szCs w:val="24"/>
              </w:rPr>
              <w:t xml:space="preserve">, Bilha Willner and Itamar Willner*. DNA Nanotechnology: From Sensing and DNA Machines to Drug-Delivery Systems. </w:t>
            </w:r>
            <w:r>
              <w:rPr>
                <w:rFonts w:ascii="Times New Roman" w:hAnsi="Times New Roman" w:eastAsia="宋体" w:cs="Times New Roman"/>
                <w:b/>
                <w:i/>
                <w:sz w:val="24"/>
                <w:szCs w:val="24"/>
              </w:rPr>
              <w:t>ACS Nano</w:t>
            </w:r>
            <w:r>
              <w:rPr>
                <w:rFonts w:ascii="Times New Roman" w:hAnsi="Times New Roman" w:eastAsia="宋体" w:cs="Times New Roman"/>
                <w:sz w:val="24"/>
                <w:szCs w:val="24"/>
              </w:rPr>
              <w:t>, 2013, 7, 8320-8332.</w:t>
            </w:r>
            <w:r>
              <w:rPr>
                <w:rFonts w:ascii="Times New Roman" w:hAnsi="Times New Roman" w:eastAsia="宋体" w:cs="Times New Roman"/>
                <w:kern w:val="0"/>
                <w:sz w:val="24"/>
                <w:szCs w:val="24"/>
              </w:rPr>
              <w:t xml:space="preserve"> (</w:t>
            </w:r>
            <w:r>
              <w:rPr>
                <w:rFonts w:ascii="Times New Roman" w:hAnsi="Times New Roman" w:eastAsia="宋体" w:cs="Times New Roman"/>
                <w:b/>
                <w:kern w:val="0"/>
                <w:sz w:val="24"/>
                <w:szCs w:val="24"/>
              </w:rPr>
              <w:t>影响因子=13.942</w:t>
            </w:r>
            <w:r>
              <w:rPr>
                <w:rFonts w:ascii="Times New Roman" w:hAnsi="Times New Roman" w:eastAsia="宋体" w:cs="Times New Roman"/>
                <w:kern w:val="0"/>
                <w:sz w:val="24"/>
                <w:szCs w:val="24"/>
              </w:rPr>
              <w:t>)</w:t>
            </w:r>
          </w:p>
          <w:p>
            <w:pPr>
              <w:spacing w:line="324" w:lineRule="auto"/>
              <w:ind w:left="480" w:hanging="480" w:hangingChars="200"/>
              <w:rPr>
                <w:rFonts w:ascii="Times New Roman" w:hAnsi="Times New Roman" w:eastAsia="宋体" w:cs="Times New Roman"/>
                <w:sz w:val="24"/>
                <w:szCs w:val="24"/>
              </w:rPr>
            </w:pPr>
            <w:r>
              <w:rPr>
                <w:rFonts w:ascii="Times New Roman" w:hAnsi="Times New Roman" w:eastAsia="宋体" w:cs="Times New Roman"/>
                <w:sz w:val="24"/>
                <w:szCs w:val="24"/>
              </w:rPr>
              <w:t xml:space="preserve">(14) </w:t>
            </w:r>
            <w:r>
              <w:rPr>
                <w:rFonts w:ascii="Times New Roman" w:hAnsi="Times New Roman" w:eastAsia="宋体" w:cs="Times New Roman"/>
                <w:b/>
                <w:sz w:val="24"/>
                <w:szCs w:val="24"/>
              </w:rPr>
              <w:t>Chun-Hua Lu</w:t>
            </w:r>
            <w:r>
              <w:rPr>
                <w:rFonts w:ascii="Times New Roman" w:hAnsi="Times New Roman" w:eastAsia="宋体" w:cs="Times New Roman"/>
                <w:sz w:val="24"/>
                <w:szCs w:val="24"/>
              </w:rPr>
              <w:t xml:space="preserve">, Alessandro Cecconello, Johann Elbaz, Alberto Credi and Itamar Willner*. A Three-Station DNA Catenane Rotary Motor with Controlled Directionality. </w:t>
            </w:r>
            <w:r>
              <w:rPr>
                <w:rFonts w:ascii="Times New Roman" w:hAnsi="Times New Roman" w:eastAsia="宋体" w:cs="Times New Roman"/>
                <w:b/>
                <w:i/>
                <w:sz w:val="24"/>
                <w:szCs w:val="24"/>
              </w:rPr>
              <w:t>Nano Lett.</w:t>
            </w:r>
            <w:r>
              <w:rPr>
                <w:rFonts w:ascii="Times New Roman" w:hAnsi="Times New Roman" w:eastAsia="宋体" w:cs="Times New Roman"/>
                <w:sz w:val="24"/>
                <w:szCs w:val="24"/>
              </w:rPr>
              <w:t xml:space="preserve">, 2013, 13, 2303-2308. </w:t>
            </w:r>
            <w:r>
              <w:rPr>
                <w:rFonts w:ascii="Times New Roman" w:hAnsi="Times New Roman" w:eastAsia="宋体" w:cs="Times New Roman"/>
                <w:kern w:val="0"/>
                <w:sz w:val="24"/>
                <w:szCs w:val="24"/>
              </w:rPr>
              <w:t>(</w:t>
            </w:r>
            <w:r>
              <w:rPr>
                <w:rFonts w:ascii="Times New Roman" w:hAnsi="Times New Roman" w:eastAsia="宋体" w:cs="Times New Roman"/>
                <w:b/>
                <w:kern w:val="0"/>
                <w:sz w:val="24"/>
                <w:szCs w:val="24"/>
              </w:rPr>
              <w:t>影响因子=12</w:t>
            </w:r>
            <w:r>
              <w:rPr>
                <w:rFonts w:hint="eastAsia" w:ascii="Times New Roman" w:hAnsi="Times New Roman" w:eastAsia="宋体" w:cs="Times New Roman"/>
                <w:b/>
                <w:kern w:val="0"/>
                <w:sz w:val="24"/>
                <w:szCs w:val="24"/>
              </w:rPr>
              <w:t>.</w:t>
            </w:r>
            <w:r>
              <w:rPr>
                <w:rFonts w:ascii="Times New Roman" w:hAnsi="Times New Roman" w:eastAsia="宋体" w:cs="Times New Roman"/>
                <w:b/>
                <w:kern w:val="0"/>
                <w:sz w:val="24"/>
                <w:szCs w:val="24"/>
              </w:rPr>
              <w:t>712</w:t>
            </w:r>
            <w:r>
              <w:rPr>
                <w:rFonts w:ascii="Times New Roman" w:hAnsi="Times New Roman" w:eastAsia="宋体" w:cs="Times New Roman"/>
                <w:kern w:val="0"/>
                <w:sz w:val="24"/>
                <w:szCs w:val="24"/>
              </w:rPr>
              <w:t>)</w:t>
            </w:r>
          </w:p>
          <w:p>
            <w:pPr>
              <w:spacing w:line="324" w:lineRule="auto"/>
              <w:ind w:left="480" w:hanging="480" w:hangingChars="200"/>
              <w:rPr>
                <w:rFonts w:ascii="Times New Roman" w:hAnsi="Times New Roman" w:eastAsia="宋体" w:cs="Times New Roman"/>
                <w:kern w:val="0"/>
                <w:sz w:val="24"/>
                <w:szCs w:val="24"/>
              </w:rPr>
            </w:pPr>
            <w:r>
              <w:rPr>
                <w:rFonts w:ascii="Times New Roman" w:hAnsi="Times New Roman" w:eastAsia="宋体" w:cs="Times New Roman"/>
                <w:sz w:val="24"/>
                <w:szCs w:val="24"/>
              </w:rPr>
              <w:t xml:space="preserve">(15) </w:t>
            </w:r>
            <w:r>
              <w:rPr>
                <w:rFonts w:ascii="Times New Roman" w:hAnsi="Times New Roman" w:eastAsia="宋体" w:cs="Times New Roman"/>
                <w:b/>
                <w:sz w:val="24"/>
                <w:szCs w:val="24"/>
              </w:rPr>
              <w:t>Chun-Hua Lu</w:t>
            </w:r>
            <w:r>
              <w:rPr>
                <w:rFonts w:ascii="Times New Roman" w:hAnsi="Times New Roman" w:eastAsia="宋体" w:cs="Times New Roman"/>
                <w:sz w:val="24"/>
                <w:szCs w:val="24"/>
              </w:rPr>
              <w:t xml:space="preserve">, Xiu-Juan Qi, Ron Orbach, Huang-Hao Yang, Iris Mironi-Harpaz, Dror Seliktar and Itamar Willner*. Switchable Catalytic Acrylamide Hydrogels Cross-Linked by Hemin/G-Quadruplexes. </w:t>
            </w:r>
            <w:r>
              <w:rPr>
                <w:rFonts w:ascii="Times New Roman" w:hAnsi="Times New Roman" w:eastAsia="宋体" w:cs="Times New Roman"/>
                <w:b/>
                <w:i/>
                <w:sz w:val="24"/>
                <w:szCs w:val="24"/>
              </w:rPr>
              <w:t>Nano Lett.</w:t>
            </w:r>
            <w:r>
              <w:rPr>
                <w:rFonts w:ascii="Times New Roman" w:hAnsi="Times New Roman" w:eastAsia="宋体" w:cs="Times New Roman"/>
                <w:sz w:val="24"/>
                <w:szCs w:val="24"/>
              </w:rPr>
              <w:t xml:space="preserve">, 2013, 13, 1298-1302. </w:t>
            </w:r>
            <w:r>
              <w:rPr>
                <w:rFonts w:ascii="Times New Roman" w:hAnsi="Times New Roman" w:eastAsia="宋体" w:cs="Times New Roman"/>
                <w:kern w:val="0"/>
                <w:sz w:val="24"/>
                <w:szCs w:val="24"/>
              </w:rPr>
              <w:t>(</w:t>
            </w:r>
            <w:r>
              <w:rPr>
                <w:rFonts w:ascii="Times New Roman" w:hAnsi="Times New Roman" w:eastAsia="宋体" w:cs="Times New Roman"/>
                <w:b/>
                <w:kern w:val="0"/>
                <w:sz w:val="24"/>
                <w:szCs w:val="24"/>
              </w:rPr>
              <w:t>影响因子=12</w:t>
            </w:r>
            <w:r>
              <w:rPr>
                <w:rFonts w:hint="eastAsia" w:ascii="Times New Roman" w:hAnsi="Times New Roman" w:eastAsia="宋体" w:cs="Times New Roman"/>
                <w:b/>
                <w:kern w:val="0"/>
                <w:sz w:val="24"/>
                <w:szCs w:val="24"/>
              </w:rPr>
              <w:t>.</w:t>
            </w:r>
            <w:r>
              <w:rPr>
                <w:rFonts w:ascii="Times New Roman" w:hAnsi="Times New Roman" w:eastAsia="宋体" w:cs="Times New Roman"/>
                <w:b/>
                <w:kern w:val="0"/>
                <w:sz w:val="24"/>
                <w:szCs w:val="24"/>
              </w:rPr>
              <w:t>712</w:t>
            </w:r>
            <w:r>
              <w:rPr>
                <w:rFonts w:ascii="Times New Roman" w:hAnsi="Times New Roman" w:eastAsia="宋体" w:cs="Times New Roman"/>
                <w:kern w:val="0"/>
                <w:sz w:val="24"/>
                <w:szCs w:val="24"/>
              </w:rPr>
              <w:t>)</w:t>
            </w:r>
          </w:p>
          <w:p>
            <w:pPr>
              <w:spacing w:line="324" w:lineRule="auto"/>
              <w:ind w:left="480" w:hanging="480" w:hangingChars="200"/>
              <w:rPr>
                <w:rFonts w:ascii="Times New Roman" w:hAnsi="Times New Roman" w:eastAsia="宋体" w:cs="Times New Roman"/>
                <w:sz w:val="24"/>
                <w:szCs w:val="24"/>
              </w:rPr>
            </w:pPr>
          </w:p>
          <w:p>
            <w:pPr>
              <w:spacing w:line="348" w:lineRule="auto"/>
              <w:ind w:left="480" w:hanging="480" w:hangingChars="200"/>
              <w:rPr>
                <w:rFonts w:ascii="Times New Roman" w:hAnsi="Times New Roman" w:eastAsia="宋体" w:cs="Times New Roman"/>
                <w:sz w:val="24"/>
                <w:szCs w:val="24"/>
              </w:rPr>
            </w:pPr>
            <w:r>
              <w:rPr>
                <w:rFonts w:ascii="Times New Roman" w:hAnsi="Times New Roman" w:eastAsia="宋体" w:cs="Times New Roman"/>
                <w:sz w:val="24"/>
                <w:szCs w:val="24"/>
              </w:rPr>
              <w:t xml:space="preserve">(16) </w:t>
            </w:r>
            <w:r>
              <w:rPr>
                <w:rFonts w:ascii="Times New Roman" w:hAnsi="Times New Roman" w:eastAsia="宋体" w:cs="Times New Roman"/>
                <w:b/>
                <w:sz w:val="24"/>
                <w:szCs w:val="24"/>
              </w:rPr>
              <w:t>Chun-Hua Lu</w:t>
            </w:r>
            <w:r>
              <w:rPr>
                <w:rFonts w:ascii="Times New Roman" w:hAnsi="Times New Roman" w:eastAsia="宋体" w:cs="Times New Roman"/>
                <w:sz w:val="24"/>
                <w:szCs w:val="24"/>
              </w:rPr>
              <w:t>, Fuan Wang and Itamar Willner*. Zn</w:t>
            </w:r>
            <w:r>
              <w:rPr>
                <w:rFonts w:ascii="Times New Roman" w:hAnsi="Times New Roman" w:eastAsia="宋体" w:cs="Times New Roman"/>
                <w:sz w:val="24"/>
                <w:szCs w:val="24"/>
                <w:vertAlign w:val="superscript"/>
              </w:rPr>
              <w:t>2+</w:t>
            </w:r>
            <w:r>
              <w:rPr>
                <w:rFonts w:ascii="Times New Roman" w:hAnsi="Times New Roman" w:eastAsia="宋体" w:cs="Times New Roman"/>
                <w:sz w:val="24"/>
                <w:szCs w:val="24"/>
              </w:rPr>
              <w:t xml:space="preserve">-Ligation DNAzyme-Driven Enzymatic and Nonenzymatic Cascades for the Amplified Detection of DNA. </w:t>
            </w:r>
            <w:r>
              <w:rPr>
                <w:rFonts w:ascii="Times New Roman" w:hAnsi="Times New Roman" w:eastAsia="宋体" w:cs="Times New Roman"/>
                <w:b/>
                <w:i/>
                <w:sz w:val="24"/>
                <w:szCs w:val="24"/>
              </w:rPr>
              <w:t>J. Am. Chem. Soc.</w:t>
            </w:r>
            <w:r>
              <w:rPr>
                <w:rFonts w:ascii="Times New Roman" w:hAnsi="Times New Roman" w:eastAsia="宋体" w:cs="Times New Roman"/>
                <w:sz w:val="24"/>
                <w:szCs w:val="24"/>
              </w:rPr>
              <w:t xml:space="preserve">, 2012, 134, 10651-10658. </w:t>
            </w:r>
            <w:r>
              <w:rPr>
                <w:rFonts w:ascii="Times New Roman" w:hAnsi="Times New Roman" w:eastAsia="宋体" w:cs="Times New Roman"/>
                <w:kern w:val="0"/>
                <w:sz w:val="24"/>
                <w:szCs w:val="24"/>
              </w:rPr>
              <w:t>(</w:t>
            </w:r>
            <w:r>
              <w:rPr>
                <w:rFonts w:ascii="Times New Roman" w:hAnsi="Times New Roman" w:eastAsia="宋体" w:cs="Times New Roman"/>
                <w:b/>
                <w:kern w:val="0"/>
                <w:sz w:val="24"/>
                <w:szCs w:val="24"/>
              </w:rPr>
              <w:t>影响因子=13.858</w:t>
            </w:r>
            <w:r>
              <w:rPr>
                <w:rFonts w:ascii="Times New Roman" w:hAnsi="Times New Roman" w:eastAsia="宋体" w:cs="Times New Roman"/>
                <w:kern w:val="0"/>
                <w:sz w:val="24"/>
                <w:szCs w:val="24"/>
              </w:rPr>
              <w:t>)</w:t>
            </w:r>
            <w:r>
              <w:rPr>
                <w:rFonts w:ascii="Times New Roman" w:hAnsi="Times New Roman" w:eastAsia="宋体" w:cs="Times New Roman"/>
                <w:sz w:val="24"/>
                <w:szCs w:val="24"/>
              </w:rPr>
              <w:tab/>
            </w:r>
          </w:p>
          <w:p>
            <w:pPr>
              <w:spacing w:line="348" w:lineRule="auto"/>
              <w:ind w:left="480" w:hanging="480" w:hangingChars="200"/>
              <w:rPr>
                <w:rFonts w:ascii="Times New Roman" w:hAnsi="Times New Roman" w:eastAsia="宋体" w:cs="Times New Roman"/>
                <w:sz w:val="24"/>
                <w:szCs w:val="24"/>
              </w:rPr>
            </w:pPr>
            <w:r>
              <w:rPr>
                <w:rFonts w:ascii="Times New Roman" w:hAnsi="Times New Roman" w:eastAsia="宋体" w:cs="Times New Roman"/>
                <w:sz w:val="24"/>
                <w:szCs w:val="24"/>
              </w:rPr>
              <w:t xml:space="preserve">(17) </w:t>
            </w:r>
            <w:r>
              <w:rPr>
                <w:rFonts w:ascii="Times New Roman" w:hAnsi="Times New Roman" w:eastAsia="宋体" w:cs="Times New Roman"/>
                <w:b/>
                <w:sz w:val="24"/>
                <w:szCs w:val="24"/>
              </w:rPr>
              <w:t>Chun-Hua Lu</w:t>
            </w:r>
            <w:r>
              <w:rPr>
                <w:rFonts w:ascii="Times New Roman" w:hAnsi="Times New Roman" w:eastAsia="宋体" w:cs="Times New Roman"/>
                <w:sz w:val="24"/>
                <w:szCs w:val="24"/>
              </w:rPr>
              <w:t>, Yi-Wei Wang, Shu-Lan Ye, Guo-Nan Chen and Huang-Hao Yang*. Ultrasensitive Detection of Cu</w:t>
            </w:r>
            <w:r>
              <w:rPr>
                <w:rFonts w:ascii="Times New Roman" w:hAnsi="Times New Roman" w:eastAsia="宋体" w:cs="Times New Roman"/>
                <w:sz w:val="24"/>
                <w:szCs w:val="24"/>
                <w:vertAlign w:val="superscript"/>
              </w:rPr>
              <w:t>2+</w:t>
            </w:r>
            <w:r>
              <w:rPr>
                <w:rFonts w:ascii="Times New Roman" w:hAnsi="Times New Roman" w:eastAsia="宋体" w:cs="Times New Roman"/>
                <w:sz w:val="24"/>
                <w:szCs w:val="24"/>
              </w:rPr>
              <w:t xml:space="preserve"> with the Naked Eye and Application in Immunoassays, </w:t>
            </w:r>
            <w:r>
              <w:rPr>
                <w:rFonts w:ascii="Times New Roman" w:hAnsi="Times New Roman" w:eastAsia="宋体" w:cs="Times New Roman"/>
                <w:b/>
                <w:i/>
                <w:sz w:val="24"/>
                <w:szCs w:val="24"/>
              </w:rPr>
              <w:t>NPG Asia Mater.</w:t>
            </w:r>
            <w:r>
              <w:rPr>
                <w:rFonts w:ascii="Times New Roman" w:hAnsi="Times New Roman" w:eastAsia="宋体" w:cs="Times New Roman"/>
                <w:sz w:val="24"/>
                <w:szCs w:val="24"/>
              </w:rPr>
              <w:t xml:space="preserve">, 2012, 4, e10. </w:t>
            </w:r>
            <w:r>
              <w:rPr>
                <w:rFonts w:ascii="Times New Roman" w:hAnsi="Times New Roman" w:eastAsia="宋体" w:cs="Times New Roman"/>
                <w:kern w:val="0"/>
                <w:sz w:val="24"/>
                <w:szCs w:val="24"/>
              </w:rPr>
              <w:t>(</w:t>
            </w:r>
            <w:r>
              <w:rPr>
                <w:rFonts w:ascii="Times New Roman" w:hAnsi="Times New Roman" w:eastAsia="宋体" w:cs="Times New Roman"/>
                <w:b/>
                <w:kern w:val="0"/>
                <w:sz w:val="24"/>
                <w:szCs w:val="24"/>
              </w:rPr>
              <w:t>影响因子=9</w:t>
            </w:r>
            <w:r>
              <w:rPr>
                <w:rFonts w:hint="eastAsia" w:ascii="Times New Roman" w:hAnsi="Times New Roman" w:eastAsia="宋体" w:cs="Times New Roman"/>
                <w:b/>
                <w:kern w:val="0"/>
                <w:sz w:val="24"/>
                <w:szCs w:val="24"/>
              </w:rPr>
              <w:t>.</w:t>
            </w:r>
            <w:r>
              <w:rPr>
                <w:rFonts w:ascii="Times New Roman" w:hAnsi="Times New Roman" w:eastAsia="宋体" w:cs="Times New Roman"/>
                <w:b/>
                <w:kern w:val="0"/>
                <w:sz w:val="24"/>
                <w:szCs w:val="24"/>
              </w:rPr>
              <w:t>157</w:t>
            </w:r>
            <w:r>
              <w:rPr>
                <w:rFonts w:ascii="Times New Roman" w:hAnsi="Times New Roman" w:eastAsia="宋体" w:cs="Times New Roman"/>
                <w:kern w:val="0"/>
                <w:sz w:val="24"/>
                <w:szCs w:val="24"/>
              </w:rPr>
              <w:t>)</w:t>
            </w:r>
          </w:p>
          <w:p>
            <w:pPr>
              <w:spacing w:line="348" w:lineRule="auto"/>
              <w:ind w:left="480" w:hanging="480" w:hangingChars="200"/>
              <w:rPr>
                <w:rFonts w:ascii="Times New Roman" w:hAnsi="Times New Roman" w:eastAsia="宋体" w:cs="Times New Roman"/>
                <w:sz w:val="24"/>
                <w:szCs w:val="24"/>
              </w:rPr>
            </w:pPr>
            <w:r>
              <w:rPr>
                <w:rFonts w:ascii="Times New Roman" w:hAnsi="Times New Roman" w:eastAsia="宋体" w:cs="Times New Roman"/>
                <w:sz w:val="24"/>
                <w:szCs w:val="24"/>
              </w:rPr>
              <w:t xml:space="preserve">(18) </w:t>
            </w:r>
            <w:r>
              <w:rPr>
                <w:rFonts w:ascii="Times New Roman" w:hAnsi="Times New Roman" w:eastAsia="宋体" w:cs="Times New Roman"/>
                <w:b/>
                <w:sz w:val="24"/>
                <w:szCs w:val="24"/>
              </w:rPr>
              <w:t>Chun-Hua Lu</w:t>
            </w:r>
            <w:r>
              <w:rPr>
                <w:rFonts w:ascii="Times New Roman" w:hAnsi="Times New Roman" w:eastAsia="宋体" w:cs="Times New Roman"/>
                <w:sz w:val="24"/>
                <w:szCs w:val="24"/>
              </w:rPr>
              <w:t xml:space="preserve">, Yan Zhang, Shui-Fen Tang, Zhi-Bin Fang, Huang-Hao Yang*, Xi Chen* and Guo-Nan Chen. Sensing HIV Related Protein using Epitope Imprinted Hydrophilic Polymer Coated Quartz Crystal Microbalance. </w:t>
            </w:r>
            <w:r>
              <w:rPr>
                <w:rFonts w:ascii="Times New Roman" w:hAnsi="Times New Roman" w:eastAsia="宋体" w:cs="Times New Roman"/>
                <w:b/>
                <w:i/>
                <w:sz w:val="24"/>
                <w:szCs w:val="24"/>
              </w:rPr>
              <w:t>Biosens. Bioelectron.</w:t>
            </w:r>
            <w:r>
              <w:rPr>
                <w:rFonts w:ascii="Times New Roman" w:hAnsi="Times New Roman" w:eastAsia="宋体" w:cs="Times New Roman"/>
                <w:sz w:val="24"/>
                <w:szCs w:val="24"/>
              </w:rPr>
              <w:t xml:space="preserve">, 2012, 31, 439-444. </w:t>
            </w:r>
            <w:r>
              <w:rPr>
                <w:rFonts w:ascii="Times New Roman" w:hAnsi="Times New Roman" w:eastAsia="宋体" w:cs="Times New Roman"/>
                <w:kern w:val="0"/>
                <w:sz w:val="24"/>
                <w:szCs w:val="24"/>
              </w:rPr>
              <w:t>(</w:t>
            </w:r>
            <w:r>
              <w:rPr>
                <w:rFonts w:ascii="Times New Roman" w:hAnsi="Times New Roman" w:eastAsia="宋体" w:cs="Times New Roman"/>
                <w:b/>
                <w:kern w:val="0"/>
                <w:sz w:val="24"/>
                <w:szCs w:val="24"/>
              </w:rPr>
              <w:t>影响因子=7.780</w:t>
            </w:r>
            <w:r>
              <w:rPr>
                <w:rFonts w:ascii="Times New Roman" w:hAnsi="Times New Roman" w:eastAsia="宋体" w:cs="Times New Roman"/>
                <w:kern w:val="0"/>
                <w:sz w:val="24"/>
                <w:szCs w:val="24"/>
              </w:rPr>
              <w:t>)</w:t>
            </w:r>
          </w:p>
          <w:p>
            <w:pPr>
              <w:spacing w:line="348" w:lineRule="auto"/>
              <w:ind w:left="480" w:hanging="480" w:hangingChars="200"/>
              <w:rPr>
                <w:rFonts w:ascii="Times New Roman" w:hAnsi="Times New Roman" w:eastAsia="宋体" w:cs="Times New Roman"/>
                <w:sz w:val="24"/>
                <w:szCs w:val="24"/>
              </w:rPr>
            </w:pPr>
            <w:r>
              <w:rPr>
                <w:rFonts w:ascii="Times New Roman" w:hAnsi="Times New Roman" w:eastAsia="宋体" w:cs="Times New Roman"/>
                <w:sz w:val="24"/>
                <w:szCs w:val="24"/>
              </w:rPr>
              <w:t xml:space="preserve">(19) </w:t>
            </w:r>
            <w:r>
              <w:rPr>
                <w:rFonts w:ascii="Times New Roman" w:hAnsi="Times New Roman" w:eastAsia="宋体" w:cs="Times New Roman"/>
                <w:b/>
                <w:sz w:val="24"/>
                <w:szCs w:val="24"/>
              </w:rPr>
              <w:t>Chun-Hua Lu</w:t>
            </w:r>
            <w:r>
              <w:rPr>
                <w:rFonts w:ascii="Times New Roman" w:hAnsi="Times New Roman" w:eastAsia="宋体" w:cs="Times New Roman"/>
                <w:sz w:val="24"/>
                <w:szCs w:val="24"/>
              </w:rPr>
              <w:t xml:space="preserve">, Juan Li, Xiao-Long Zhang, Ai-Xian Zheng, Huang-Hao Yang*, Xi Chen and Guo-Nan Chen. A General Approach for Monitoring Peptide-Protein Interactions Based on Graphene-Peptide Complex. </w:t>
            </w:r>
            <w:r>
              <w:rPr>
                <w:rFonts w:ascii="Times New Roman" w:hAnsi="Times New Roman" w:eastAsia="宋体" w:cs="Times New Roman"/>
                <w:b/>
                <w:i/>
                <w:sz w:val="24"/>
                <w:szCs w:val="24"/>
              </w:rPr>
              <w:t>Anal. Chem.</w:t>
            </w:r>
            <w:r>
              <w:rPr>
                <w:rFonts w:ascii="Times New Roman" w:hAnsi="Times New Roman" w:eastAsia="宋体" w:cs="Times New Roman"/>
                <w:sz w:val="24"/>
                <w:szCs w:val="24"/>
              </w:rPr>
              <w:t>, 2011, 83, 7276-7282.</w:t>
            </w:r>
            <w:r>
              <w:rPr>
                <w:rFonts w:ascii="Times New Roman" w:hAnsi="Times New Roman" w:eastAsia="宋体" w:cs="Times New Roman"/>
                <w:kern w:val="0"/>
                <w:sz w:val="24"/>
                <w:szCs w:val="24"/>
              </w:rPr>
              <w:t xml:space="preserve"> (</w:t>
            </w:r>
            <w:r>
              <w:rPr>
                <w:rFonts w:ascii="Times New Roman" w:hAnsi="Times New Roman" w:eastAsia="宋体" w:cs="Times New Roman"/>
                <w:b/>
                <w:kern w:val="0"/>
                <w:sz w:val="24"/>
                <w:szCs w:val="24"/>
              </w:rPr>
              <w:t>影响因子=6</w:t>
            </w:r>
            <w:r>
              <w:rPr>
                <w:rFonts w:hint="eastAsia" w:ascii="Times New Roman" w:hAnsi="Times New Roman" w:eastAsia="宋体" w:cs="Times New Roman"/>
                <w:b/>
                <w:kern w:val="0"/>
                <w:sz w:val="24"/>
                <w:szCs w:val="24"/>
              </w:rPr>
              <w:t>.</w:t>
            </w:r>
            <w:r>
              <w:rPr>
                <w:rFonts w:ascii="Times New Roman" w:hAnsi="Times New Roman" w:eastAsia="宋体" w:cs="Times New Roman"/>
                <w:b/>
                <w:kern w:val="0"/>
                <w:sz w:val="24"/>
                <w:szCs w:val="24"/>
              </w:rPr>
              <w:t>320</w:t>
            </w:r>
            <w:r>
              <w:rPr>
                <w:rFonts w:ascii="Times New Roman" w:hAnsi="Times New Roman" w:eastAsia="宋体" w:cs="Times New Roman"/>
                <w:kern w:val="0"/>
                <w:sz w:val="24"/>
                <w:szCs w:val="24"/>
              </w:rPr>
              <w:t>)</w:t>
            </w:r>
          </w:p>
          <w:p>
            <w:pPr>
              <w:spacing w:line="348" w:lineRule="auto"/>
              <w:ind w:left="480" w:hanging="480" w:hangingChars="200"/>
              <w:rPr>
                <w:rFonts w:ascii="Times New Roman" w:hAnsi="Times New Roman" w:eastAsia="宋体" w:cs="Times New Roman"/>
                <w:sz w:val="24"/>
                <w:szCs w:val="24"/>
              </w:rPr>
            </w:pPr>
            <w:r>
              <w:rPr>
                <w:rFonts w:ascii="Times New Roman" w:hAnsi="Times New Roman" w:eastAsia="宋体" w:cs="Times New Roman"/>
                <w:sz w:val="24"/>
                <w:szCs w:val="24"/>
              </w:rPr>
              <w:t xml:space="preserve">(20) </w:t>
            </w:r>
            <w:r>
              <w:rPr>
                <w:rFonts w:ascii="Times New Roman" w:hAnsi="Times New Roman" w:eastAsia="宋体" w:cs="Times New Roman"/>
                <w:b/>
                <w:sz w:val="24"/>
                <w:szCs w:val="24"/>
              </w:rPr>
              <w:t>Chun-Hua Lu</w:t>
            </w:r>
            <w:r>
              <w:rPr>
                <w:rFonts w:ascii="Times New Roman" w:hAnsi="Times New Roman" w:eastAsia="宋体" w:cs="Times New Roman"/>
                <w:sz w:val="24"/>
                <w:szCs w:val="24"/>
              </w:rPr>
              <w:t xml:space="preserve">, Juan Li, Mei-Hua Lin, Yi-Wei Wang, Huang-Hao Yang*, Xi Chen and Guo-Nan Chen. Amplified Aptamer based Assay through Catalytic Recycling of the Analyte. </w:t>
            </w:r>
            <w:r>
              <w:rPr>
                <w:rFonts w:ascii="Times New Roman" w:hAnsi="Times New Roman" w:eastAsia="宋体" w:cs="Times New Roman"/>
                <w:b/>
                <w:i/>
                <w:sz w:val="24"/>
                <w:szCs w:val="24"/>
              </w:rPr>
              <w:t>Angew. Chem. Int. Ed.</w:t>
            </w:r>
            <w:r>
              <w:rPr>
                <w:rFonts w:ascii="Times New Roman" w:hAnsi="Times New Roman" w:eastAsia="宋体" w:cs="Times New Roman"/>
                <w:sz w:val="24"/>
                <w:szCs w:val="24"/>
              </w:rPr>
              <w:t xml:space="preserve">, 2010, 49, 8454 -8457. </w:t>
            </w:r>
            <w:r>
              <w:rPr>
                <w:rFonts w:ascii="Times New Roman" w:hAnsi="Times New Roman" w:eastAsia="宋体" w:cs="Times New Roman"/>
                <w:kern w:val="0"/>
                <w:sz w:val="24"/>
                <w:szCs w:val="24"/>
              </w:rPr>
              <w:t>(</w:t>
            </w:r>
            <w:r>
              <w:rPr>
                <w:rFonts w:ascii="Times New Roman" w:hAnsi="Times New Roman" w:eastAsia="宋体" w:cs="Times New Roman"/>
                <w:b/>
                <w:kern w:val="0"/>
                <w:sz w:val="24"/>
                <w:szCs w:val="24"/>
              </w:rPr>
              <w:t>影响因子=11.994</w:t>
            </w:r>
            <w:r>
              <w:rPr>
                <w:rFonts w:ascii="Times New Roman" w:hAnsi="Times New Roman" w:eastAsia="宋体" w:cs="Times New Roman"/>
                <w:kern w:val="0"/>
                <w:sz w:val="24"/>
                <w:szCs w:val="24"/>
              </w:rPr>
              <w:t>)</w:t>
            </w:r>
          </w:p>
          <w:p>
            <w:pPr>
              <w:spacing w:line="348" w:lineRule="auto"/>
              <w:ind w:left="480" w:hanging="480" w:hangingChars="200"/>
              <w:rPr>
                <w:rFonts w:ascii="Times New Roman" w:hAnsi="Times New Roman" w:eastAsia="宋体" w:cs="Times New Roman"/>
                <w:sz w:val="24"/>
                <w:szCs w:val="24"/>
              </w:rPr>
            </w:pPr>
            <w:r>
              <w:rPr>
                <w:rFonts w:ascii="Times New Roman" w:hAnsi="Times New Roman" w:eastAsia="宋体" w:cs="Times New Roman"/>
                <w:sz w:val="24"/>
                <w:szCs w:val="24"/>
              </w:rPr>
              <w:t xml:space="preserve">(21) </w:t>
            </w:r>
            <w:r>
              <w:rPr>
                <w:rFonts w:ascii="Times New Roman" w:hAnsi="Times New Roman" w:eastAsia="宋体" w:cs="Times New Roman"/>
                <w:b/>
                <w:sz w:val="24"/>
                <w:szCs w:val="24"/>
              </w:rPr>
              <w:t>Chun-Hua Lu</w:t>
            </w:r>
            <w:r>
              <w:rPr>
                <w:rFonts w:ascii="Times New Roman" w:hAnsi="Times New Roman" w:eastAsia="宋体" w:cs="Times New Roman"/>
                <w:sz w:val="24"/>
                <w:szCs w:val="24"/>
              </w:rPr>
              <w:t xml:space="preserve">, Chun-Ling Zhu, Juan Li, Jing-Jing Liu, Xi Chen* and Huang-Hao Yang*. Using Graphene to Protect DNA from Cleavage during Cellular Delivery. </w:t>
            </w:r>
            <w:r>
              <w:rPr>
                <w:rFonts w:ascii="Times New Roman" w:hAnsi="Times New Roman" w:eastAsia="宋体" w:cs="Times New Roman"/>
                <w:b/>
                <w:i/>
                <w:sz w:val="24"/>
                <w:szCs w:val="24"/>
              </w:rPr>
              <w:t>Chem. Commun.</w:t>
            </w:r>
            <w:r>
              <w:rPr>
                <w:rFonts w:ascii="Times New Roman" w:hAnsi="Times New Roman" w:eastAsia="宋体" w:cs="Times New Roman"/>
                <w:sz w:val="24"/>
                <w:szCs w:val="24"/>
              </w:rPr>
              <w:t xml:space="preserve">, 2010, 46, 3116-3118. </w:t>
            </w:r>
            <w:r>
              <w:rPr>
                <w:rFonts w:ascii="Times New Roman" w:hAnsi="Times New Roman" w:eastAsia="宋体" w:cs="Times New Roman"/>
                <w:kern w:val="0"/>
                <w:sz w:val="24"/>
                <w:szCs w:val="24"/>
              </w:rPr>
              <w:t>(</w:t>
            </w:r>
            <w:r>
              <w:rPr>
                <w:rFonts w:ascii="Times New Roman" w:hAnsi="Times New Roman" w:eastAsia="宋体" w:cs="Times New Roman"/>
                <w:b/>
                <w:kern w:val="0"/>
                <w:sz w:val="24"/>
                <w:szCs w:val="24"/>
              </w:rPr>
              <w:t>影响因子=6.319</w:t>
            </w:r>
            <w:r>
              <w:rPr>
                <w:rFonts w:ascii="Times New Roman" w:hAnsi="Times New Roman" w:eastAsia="宋体" w:cs="Times New Roman"/>
                <w:kern w:val="0"/>
                <w:sz w:val="24"/>
                <w:szCs w:val="24"/>
              </w:rPr>
              <w:t>)</w:t>
            </w:r>
          </w:p>
          <w:p>
            <w:pPr>
              <w:spacing w:line="348" w:lineRule="auto"/>
              <w:ind w:left="480" w:hanging="480" w:hangingChars="200"/>
              <w:rPr>
                <w:rFonts w:ascii="Times New Roman" w:hAnsi="Times New Roman" w:eastAsia="宋体" w:cs="Times New Roman"/>
                <w:sz w:val="24"/>
                <w:szCs w:val="24"/>
              </w:rPr>
            </w:pPr>
            <w:r>
              <w:rPr>
                <w:rFonts w:ascii="Times New Roman" w:hAnsi="Times New Roman" w:eastAsia="宋体" w:cs="Times New Roman"/>
                <w:sz w:val="24"/>
                <w:szCs w:val="24"/>
              </w:rPr>
              <w:t xml:space="preserve">(22) </w:t>
            </w:r>
            <w:r>
              <w:rPr>
                <w:rFonts w:ascii="Times New Roman" w:hAnsi="Times New Roman" w:eastAsia="宋体" w:cs="Times New Roman"/>
                <w:b/>
                <w:sz w:val="24"/>
                <w:szCs w:val="24"/>
              </w:rPr>
              <w:t>Chun-Hua Lu</w:t>
            </w:r>
            <w:r>
              <w:rPr>
                <w:rFonts w:ascii="Times New Roman" w:hAnsi="Times New Roman" w:eastAsia="宋体" w:cs="Times New Roman"/>
                <w:sz w:val="24"/>
                <w:szCs w:val="24"/>
              </w:rPr>
              <w:t xml:space="preserve">, Juan Li, Jing-Jing Liu, Huang-Hao Yang*, Xi Chen* and Guo-Nan Chen. Increasing the Sensitivity and Single-Base Mismatch Selectivity of the Molecular Beacon Using Graphene Oxide as the “Nanoquencher”. </w:t>
            </w:r>
            <w:r>
              <w:rPr>
                <w:rFonts w:ascii="Times New Roman" w:hAnsi="Times New Roman" w:eastAsia="宋体" w:cs="Times New Roman"/>
                <w:b/>
                <w:i/>
                <w:sz w:val="24"/>
                <w:szCs w:val="24"/>
              </w:rPr>
              <w:t>Chem. -Eur. J.</w:t>
            </w:r>
            <w:r>
              <w:rPr>
                <w:rFonts w:ascii="Times New Roman" w:hAnsi="Times New Roman" w:eastAsia="宋体" w:cs="Times New Roman"/>
                <w:sz w:val="24"/>
                <w:szCs w:val="24"/>
              </w:rPr>
              <w:t xml:space="preserve">, 2010, 16, 4889-4894. </w:t>
            </w:r>
            <w:r>
              <w:rPr>
                <w:rFonts w:ascii="Times New Roman" w:hAnsi="Times New Roman" w:eastAsia="宋体" w:cs="Times New Roman"/>
                <w:kern w:val="0"/>
                <w:sz w:val="24"/>
                <w:szCs w:val="24"/>
              </w:rPr>
              <w:t>(</w:t>
            </w:r>
            <w:r>
              <w:rPr>
                <w:rFonts w:ascii="Times New Roman" w:hAnsi="Times New Roman" w:eastAsia="宋体" w:cs="Times New Roman"/>
                <w:b/>
                <w:kern w:val="0"/>
                <w:sz w:val="24"/>
                <w:szCs w:val="24"/>
              </w:rPr>
              <w:t>影响因子=5.317</w:t>
            </w:r>
            <w:r>
              <w:rPr>
                <w:rFonts w:ascii="Times New Roman" w:hAnsi="Times New Roman" w:eastAsia="宋体" w:cs="Times New Roman"/>
                <w:kern w:val="0"/>
                <w:sz w:val="24"/>
                <w:szCs w:val="24"/>
              </w:rPr>
              <w:t>)</w:t>
            </w:r>
            <w:r>
              <w:rPr>
                <w:rFonts w:ascii="Times New Roman" w:hAnsi="Times New Roman" w:eastAsia="宋体" w:cs="Times New Roman"/>
                <w:sz w:val="24"/>
                <w:szCs w:val="24"/>
              </w:rPr>
              <w:tab/>
            </w:r>
          </w:p>
          <w:p>
            <w:pPr>
              <w:spacing w:line="348" w:lineRule="auto"/>
              <w:ind w:left="480" w:hanging="480" w:hangingChars="200"/>
              <w:rPr>
                <w:rFonts w:ascii="Times New Roman" w:hAnsi="Times New Roman" w:eastAsia="宋体" w:cs="Times New Roman"/>
                <w:sz w:val="24"/>
                <w:szCs w:val="24"/>
              </w:rPr>
            </w:pPr>
            <w:r>
              <w:rPr>
                <w:rFonts w:ascii="Times New Roman" w:hAnsi="Times New Roman" w:eastAsia="宋体" w:cs="Times New Roman"/>
                <w:sz w:val="24"/>
                <w:szCs w:val="24"/>
              </w:rPr>
              <w:t xml:space="preserve">(23) </w:t>
            </w:r>
            <w:r>
              <w:rPr>
                <w:rFonts w:ascii="Times New Roman" w:hAnsi="Times New Roman" w:eastAsia="宋体" w:cs="Times New Roman"/>
                <w:b/>
                <w:sz w:val="24"/>
                <w:szCs w:val="24"/>
              </w:rPr>
              <w:t>Chun-Hua Lu</w:t>
            </w:r>
            <w:r>
              <w:rPr>
                <w:rFonts w:ascii="Times New Roman" w:hAnsi="Times New Roman" w:eastAsia="宋体" w:cs="Times New Roman"/>
                <w:sz w:val="24"/>
                <w:szCs w:val="24"/>
              </w:rPr>
              <w:t xml:space="preserve">, Huang-Hao Yang*, Chun-Ling Zhu, Xi Chen and Guo-Nan Chen. A Graphene Platform for Sensing Biomolecules. </w:t>
            </w:r>
            <w:r>
              <w:rPr>
                <w:rFonts w:ascii="Times New Roman" w:hAnsi="Times New Roman" w:eastAsia="宋体" w:cs="Times New Roman"/>
                <w:b/>
                <w:i/>
                <w:sz w:val="24"/>
                <w:szCs w:val="24"/>
              </w:rPr>
              <w:t>Angew. Chem. Int. Ed.</w:t>
            </w:r>
            <w:r>
              <w:rPr>
                <w:rFonts w:ascii="Times New Roman" w:hAnsi="Times New Roman" w:eastAsia="宋体" w:cs="Times New Roman"/>
                <w:sz w:val="24"/>
                <w:szCs w:val="24"/>
              </w:rPr>
              <w:t xml:space="preserve">, 2009, 48, 4785-4787. </w:t>
            </w:r>
            <w:r>
              <w:rPr>
                <w:rFonts w:ascii="Times New Roman" w:hAnsi="Times New Roman" w:eastAsia="宋体" w:cs="Times New Roman"/>
                <w:kern w:val="0"/>
                <w:sz w:val="24"/>
                <w:szCs w:val="24"/>
              </w:rPr>
              <w:t>(</w:t>
            </w:r>
            <w:r>
              <w:rPr>
                <w:rFonts w:ascii="Times New Roman" w:hAnsi="Times New Roman" w:eastAsia="宋体" w:cs="Times New Roman"/>
                <w:b/>
                <w:kern w:val="0"/>
                <w:sz w:val="24"/>
                <w:szCs w:val="24"/>
              </w:rPr>
              <w:t>影响因子=11.994</w:t>
            </w:r>
            <w:r>
              <w:rPr>
                <w:rFonts w:ascii="Times New Roman" w:hAnsi="Times New Roman" w:eastAsia="宋体" w:cs="Times New Roman"/>
                <w:kern w:val="0"/>
                <w:sz w:val="24"/>
                <w:szCs w:val="24"/>
              </w:rPr>
              <w:t>)</w:t>
            </w:r>
          </w:p>
          <w:p>
            <w:pPr>
              <w:spacing w:line="348" w:lineRule="auto"/>
              <w:ind w:left="480" w:hanging="480" w:hangingChars="200"/>
              <w:rPr>
                <w:rFonts w:ascii="Times New Roman" w:hAnsi="Times New Roman" w:eastAsia="宋体" w:cs="Times New Roman"/>
                <w:color w:val="000000" w:themeColor="text1"/>
                <w:kern w:val="0"/>
                <w:sz w:val="24"/>
                <w:szCs w:val="24"/>
              </w:rPr>
            </w:pPr>
            <w:r>
              <w:rPr>
                <w:rFonts w:ascii="Times New Roman" w:hAnsi="Times New Roman" w:eastAsia="宋体" w:cs="Times New Roman"/>
                <w:color w:val="000000" w:themeColor="text1"/>
                <w:sz w:val="24"/>
                <w:szCs w:val="24"/>
              </w:rPr>
              <w:t xml:space="preserve">(24) </w:t>
            </w:r>
            <w:r>
              <w:rPr>
                <w:rFonts w:ascii="Times New Roman" w:hAnsi="Times New Roman" w:eastAsia="宋体" w:cs="Times New Roman"/>
                <w:b/>
                <w:color w:val="000000" w:themeColor="text1"/>
                <w:sz w:val="24"/>
                <w:szCs w:val="24"/>
              </w:rPr>
              <w:t>Chun-Hua Lu</w:t>
            </w:r>
            <w:r>
              <w:rPr>
                <w:rFonts w:ascii="Times New Roman" w:hAnsi="Times New Roman" w:eastAsia="宋体" w:cs="Times New Roman"/>
                <w:color w:val="000000" w:themeColor="text1"/>
                <w:sz w:val="24"/>
                <w:szCs w:val="24"/>
              </w:rPr>
              <w:t xml:space="preserve">, Yun Wang, Yong Li, Huang-Hao Yang*, Xi Chen and Xiao-Ru, Wang. Bifunctional Superparamagnetic Surface Molecularly Imprinted Polymer Core-shell Nanoparticles. </w:t>
            </w:r>
            <w:r>
              <w:rPr>
                <w:rFonts w:ascii="Times New Roman" w:hAnsi="Times New Roman" w:eastAsia="宋体" w:cs="Times New Roman"/>
                <w:b/>
                <w:i/>
                <w:color w:val="000000" w:themeColor="text1"/>
                <w:sz w:val="24"/>
                <w:szCs w:val="24"/>
              </w:rPr>
              <w:t>J. Mater. Chem.</w:t>
            </w:r>
            <w:r>
              <w:rPr>
                <w:rFonts w:ascii="Times New Roman" w:hAnsi="Times New Roman" w:eastAsia="宋体" w:cs="Times New Roman"/>
                <w:color w:val="000000" w:themeColor="text1"/>
                <w:sz w:val="24"/>
                <w:szCs w:val="24"/>
              </w:rPr>
              <w:t>, 2009, 19, 1077-1079.</w:t>
            </w:r>
            <w:r>
              <w:rPr>
                <w:rFonts w:ascii="Times New Roman" w:hAnsi="Times New Roman" w:eastAsia="宋体" w:cs="Times New Roman"/>
                <w:color w:val="000000" w:themeColor="text1"/>
                <w:kern w:val="0"/>
                <w:sz w:val="24"/>
                <w:szCs w:val="24"/>
              </w:rPr>
              <w:t xml:space="preserve"> (</w:t>
            </w:r>
            <w:r>
              <w:rPr>
                <w:rFonts w:ascii="Times New Roman" w:hAnsi="Times New Roman" w:eastAsia="宋体" w:cs="Times New Roman"/>
                <w:b/>
                <w:color w:val="000000" w:themeColor="text1"/>
                <w:kern w:val="0"/>
                <w:sz w:val="24"/>
                <w:szCs w:val="24"/>
              </w:rPr>
              <w:t>影响因子=5.256</w:t>
            </w:r>
            <w:r>
              <w:rPr>
                <w:rFonts w:ascii="Times New Roman" w:hAnsi="Times New Roman" w:eastAsia="宋体" w:cs="Times New Roman"/>
                <w:color w:val="000000" w:themeColor="text1"/>
                <w:kern w:val="0"/>
                <w:sz w:val="24"/>
                <w:szCs w:val="24"/>
              </w:rPr>
              <w:t>)</w:t>
            </w:r>
          </w:p>
          <w:p>
            <w:pPr>
              <w:spacing w:line="336" w:lineRule="auto"/>
              <w:ind w:left="480" w:hanging="480" w:hangingChars="200"/>
              <w:rPr>
                <w:rFonts w:ascii="Times New Roman" w:hAnsi="Times New Roman" w:eastAsia="宋体" w:cs="Times New Roman"/>
                <w:sz w:val="24"/>
                <w:szCs w:val="24"/>
              </w:rPr>
            </w:pPr>
            <w:r>
              <w:rPr>
                <w:rFonts w:ascii="Times New Roman" w:hAnsi="Times New Roman" w:eastAsia="宋体" w:cs="Times New Roman"/>
                <w:sz w:val="24"/>
                <w:szCs w:val="24"/>
              </w:rPr>
              <w:t xml:space="preserve">(25) </w:t>
            </w:r>
            <w:r>
              <w:rPr>
                <w:rFonts w:ascii="Times New Roman" w:hAnsi="Times New Roman" w:eastAsia="宋体" w:cs="Times New Roman"/>
                <w:b/>
                <w:sz w:val="24"/>
                <w:szCs w:val="24"/>
              </w:rPr>
              <w:t>Chun-Hua Lu</w:t>
            </w:r>
            <w:r>
              <w:rPr>
                <w:rFonts w:ascii="Times New Roman" w:hAnsi="Times New Roman" w:eastAsia="宋体" w:cs="Times New Roman"/>
                <w:sz w:val="24"/>
                <w:szCs w:val="24"/>
              </w:rPr>
              <w:t xml:space="preserve">, Wen-Hui Zhou, Bing Han, Huang-Hao Yang*, Xi Chen and Xiao-Ru Wang*. Surface-Imprinted Core-Shell Nanoparticles for Sorbent Assays. </w:t>
            </w:r>
            <w:r>
              <w:rPr>
                <w:rFonts w:ascii="Times New Roman" w:hAnsi="Times New Roman" w:eastAsia="宋体" w:cs="Times New Roman"/>
                <w:b/>
                <w:i/>
                <w:sz w:val="24"/>
                <w:szCs w:val="24"/>
              </w:rPr>
              <w:t>Anal. Chem.</w:t>
            </w:r>
            <w:r>
              <w:rPr>
                <w:rFonts w:ascii="Times New Roman" w:hAnsi="Times New Roman" w:eastAsia="宋体" w:cs="Times New Roman"/>
                <w:sz w:val="24"/>
                <w:szCs w:val="24"/>
              </w:rPr>
              <w:t xml:space="preserve">, 2007, 79, 5457-5461. </w:t>
            </w:r>
            <w:r>
              <w:rPr>
                <w:rFonts w:ascii="Times New Roman" w:hAnsi="Times New Roman" w:eastAsia="宋体" w:cs="Times New Roman"/>
                <w:kern w:val="0"/>
                <w:sz w:val="24"/>
                <w:szCs w:val="24"/>
              </w:rPr>
              <w:t>(</w:t>
            </w:r>
            <w:r>
              <w:rPr>
                <w:rFonts w:ascii="Times New Roman" w:hAnsi="Times New Roman" w:eastAsia="宋体" w:cs="Times New Roman"/>
                <w:b/>
                <w:kern w:val="0"/>
                <w:sz w:val="24"/>
                <w:szCs w:val="24"/>
              </w:rPr>
              <w:t>影响因子=6</w:t>
            </w:r>
            <w:r>
              <w:rPr>
                <w:rFonts w:hint="eastAsia" w:ascii="Times New Roman" w:hAnsi="Times New Roman" w:eastAsia="宋体" w:cs="Times New Roman"/>
                <w:b/>
                <w:kern w:val="0"/>
                <w:sz w:val="24"/>
                <w:szCs w:val="24"/>
              </w:rPr>
              <w:t>.</w:t>
            </w:r>
            <w:r>
              <w:rPr>
                <w:rFonts w:ascii="Times New Roman" w:hAnsi="Times New Roman" w:eastAsia="宋体" w:cs="Times New Roman"/>
                <w:b/>
                <w:kern w:val="0"/>
                <w:sz w:val="24"/>
                <w:szCs w:val="24"/>
              </w:rPr>
              <w:t>320</w:t>
            </w:r>
            <w:r>
              <w:rPr>
                <w:rFonts w:ascii="Times New Roman" w:hAnsi="Times New Roman" w:eastAsia="宋体" w:cs="Times New Roman"/>
                <w:kern w:val="0"/>
                <w:sz w:val="24"/>
                <w:szCs w:val="24"/>
              </w:rPr>
              <w:t>)</w:t>
            </w:r>
          </w:p>
          <w:p>
            <w:pPr>
              <w:spacing w:line="336" w:lineRule="auto"/>
              <w:ind w:left="480" w:hanging="480" w:hangingChars="200"/>
              <w:rPr>
                <w:rFonts w:ascii="Times New Roman" w:hAnsi="Times New Roman" w:eastAsia="宋体" w:cs="Times New Roman"/>
                <w:sz w:val="24"/>
                <w:szCs w:val="24"/>
              </w:rPr>
            </w:pPr>
            <w:r>
              <w:rPr>
                <w:rFonts w:ascii="Times New Roman" w:hAnsi="Times New Roman" w:eastAsia="宋体" w:cs="Times New Roman"/>
                <w:sz w:val="24"/>
                <w:szCs w:val="24"/>
              </w:rPr>
              <w:t xml:space="preserve">(26) Chun-Ling Zhu, </w:t>
            </w:r>
            <w:r>
              <w:rPr>
                <w:rFonts w:ascii="Times New Roman" w:hAnsi="Times New Roman" w:eastAsia="宋体" w:cs="Times New Roman"/>
                <w:b/>
                <w:sz w:val="24"/>
                <w:szCs w:val="24"/>
              </w:rPr>
              <w:t>Chun-Hua Lu</w:t>
            </w:r>
            <w:r>
              <w:rPr>
                <w:rFonts w:ascii="Times New Roman" w:hAnsi="Times New Roman" w:eastAsia="宋体" w:cs="Times New Roman"/>
                <w:sz w:val="24"/>
                <w:szCs w:val="24"/>
              </w:rPr>
              <w:t xml:space="preserve">, Xue-Yuan Song, Huang-Hao Yang* and Xiaoru Wang. Bioresponsive Controlled Release Using Mesoporous Silica Nanoparticles Capped with Aptamer-Based Molecular Gate. </w:t>
            </w:r>
            <w:r>
              <w:rPr>
                <w:rFonts w:ascii="Times New Roman" w:hAnsi="Times New Roman" w:eastAsia="宋体" w:cs="Times New Roman"/>
                <w:b/>
                <w:i/>
                <w:sz w:val="24"/>
                <w:szCs w:val="24"/>
              </w:rPr>
              <w:t>J. Am. Chem. Soc.</w:t>
            </w:r>
            <w:r>
              <w:rPr>
                <w:rFonts w:ascii="Times New Roman" w:hAnsi="Times New Roman" w:eastAsia="宋体" w:cs="Times New Roman"/>
                <w:sz w:val="24"/>
                <w:szCs w:val="24"/>
              </w:rPr>
              <w:t xml:space="preserve">, 2011, 133, 1278-1281. </w:t>
            </w:r>
            <w:r>
              <w:rPr>
                <w:rFonts w:ascii="Times New Roman" w:hAnsi="Times New Roman" w:eastAsia="宋体" w:cs="Times New Roman"/>
                <w:kern w:val="0"/>
                <w:sz w:val="24"/>
                <w:szCs w:val="24"/>
              </w:rPr>
              <w:t>(</w:t>
            </w:r>
            <w:r>
              <w:rPr>
                <w:rFonts w:ascii="Times New Roman" w:hAnsi="Times New Roman" w:eastAsia="宋体" w:cs="Times New Roman"/>
                <w:b/>
                <w:kern w:val="0"/>
                <w:sz w:val="24"/>
                <w:szCs w:val="24"/>
              </w:rPr>
              <w:t>影响因子=13.858</w:t>
            </w:r>
            <w:r>
              <w:rPr>
                <w:rFonts w:ascii="Times New Roman" w:hAnsi="Times New Roman" w:eastAsia="宋体" w:cs="Times New Roman"/>
                <w:kern w:val="0"/>
                <w:sz w:val="24"/>
                <w:szCs w:val="24"/>
              </w:rPr>
              <w:t>)</w:t>
            </w:r>
          </w:p>
          <w:p>
            <w:pPr>
              <w:spacing w:line="336" w:lineRule="auto"/>
              <w:ind w:left="480" w:hanging="480" w:hangingChars="200"/>
              <w:rPr>
                <w:rFonts w:ascii="Times New Roman" w:hAnsi="Times New Roman" w:eastAsia="宋体" w:cs="Times New Roman"/>
                <w:color w:val="FF0000"/>
                <w:sz w:val="24"/>
                <w:szCs w:val="24"/>
              </w:rPr>
            </w:pPr>
            <w:r>
              <w:rPr>
                <w:rFonts w:ascii="Times New Roman" w:hAnsi="Times New Roman" w:eastAsia="宋体" w:cs="Times New Roman"/>
                <w:color w:val="000000" w:themeColor="text1"/>
                <w:sz w:val="24"/>
                <w:szCs w:val="24"/>
              </w:rPr>
              <w:t xml:space="preserve">(27) Wen-Hui Zhou, </w:t>
            </w:r>
            <w:r>
              <w:rPr>
                <w:rFonts w:ascii="Times New Roman" w:hAnsi="Times New Roman" w:eastAsia="宋体" w:cs="Times New Roman"/>
                <w:b/>
                <w:color w:val="000000" w:themeColor="text1"/>
                <w:sz w:val="24"/>
                <w:szCs w:val="24"/>
              </w:rPr>
              <w:t>Chun-Hua Lu</w:t>
            </w:r>
            <w:r>
              <w:rPr>
                <w:rFonts w:ascii="Times New Roman" w:hAnsi="Times New Roman" w:eastAsia="宋体" w:cs="Times New Roman"/>
                <w:color w:val="000000" w:themeColor="text1"/>
                <w:sz w:val="24"/>
                <w:szCs w:val="24"/>
              </w:rPr>
              <w:t xml:space="preserve">, Xiu-Chun Guo, Fa-Rong Chen, Huang-Hao Yang* and Xiao-Ru Wang*. Mussel-Inspired Molecularly Imprinted Polymer Coating Superparamagnetic Nanoparticles for Protein Recognition. </w:t>
            </w:r>
            <w:r>
              <w:rPr>
                <w:rFonts w:ascii="Times New Roman" w:hAnsi="Times New Roman" w:eastAsia="宋体" w:cs="Times New Roman"/>
                <w:b/>
                <w:i/>
                <w:color w:val="000000" w:themeColor="text1"/>
                <w:sz w:val="24"/>
                <w:szCs w:val="24"/>
              </w:rPr>
              <w:t>J. Mater. Chem.</w:t>
            </w:r>
            <w:r>
              <w:rPr>
                <w:rFonts w:ascii="Times New Roman" w:hAnsi="Times New Roman" w:eastAsia="宋体" w:cs="Times New Roman"/>
                <w:color w:val="000000" w:themeColor="text1"/>
                <w:sz w:val="24"/>
                <w:szCs w:val="24"/>
              </w:rPr>
              <w:t>, 2010, 20, 880-883.</w:t>
            </w:r>
            <w:r>
              <w:rPr>
                <w:rFonts w:ascii="Times New Roman" w:hAnsi="Times New Roman" w:eastAsia="宋体" w:cs="Times New Roman"/>
                <w:color w:val="000000" w:themeColor="text1"/>
                <w:kern w:val="0"/>
                <w:sz w:val="24"/>
                <w:szCs w:val="24"/>
              </w:rPr>
              <w:t xml:space="preserve"> (</w:t>
            </w:r>
            <w:r>
              <w:rPr>
                <w:rFonts w:ascii="Times New Roman" w:hAnsi="Times New Roman" w:eastAsia="宋体" w:cs="Times New Roman"/>
                <w:b/>
                <w:color w:val="000000" w:themeColor="text1"/>
                <w:kern w:val="0"/>
                <w:sz w:val="24"/>
                <w:szCs w:val="24"/>
              </w:rPr>
              <w:t>影响因子=5.256</w:t>
            </w:r>
            <w:r>
              <w:rPr>
                <w:rFonts w:ascii="Times New Roman" w:hAnsi="Times New Roman" w:eastAsia="宋体" w:cs="Times New Roman"/>
                <w:color w:val="000000" w:themeColor="text1"/>
                <w:kern w:val="0"/>
                <w:sz w:val="24"/>
                <w:szCs w:val="24"/>
              </w:rPr>
              <w:t>)</w:t>
            </w:r>
          </w:p>
          <w:p/>
          <w:p>
            <w:pPr>
              <w:spacing w:line="336" w:lineRule="auto"/>
              <w:ind w:left="560" w:hanging="560" w:hangingChars="200"/>
              <w:rPr>
                <w:rFonts w:ascii="宋体" w:hAnsi="宋体" w:eastAsia="仿宋_GB2312"/>
                <w:sz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2131"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仿宋_GB2312"/>
                <w:sz w:val="28"/>
              </w:rPr>
            </w:pPr>
            <w:r>
              <w:rPr>
                <w:rFonts w:ascii="宋体" w:hAnsi="宋体" w:eastAsia="黑体"/>
                <w:sz w:val="30"/>
                <w:szCs w:val="30"/>
              </w:rPr>
              <w:br w:type="page"/>
            </w:r>
            <w:r>
              <w:rPr>
                <w:rFonts w:hint="eastAsia" w:ascii="宋体" w:hAnsi="宋体" w:eastAsia="仿宋_GB2312"/>
                <w:sz w:val="28"/>
              </w:rPr>
              <w:t>声</w:t>
            </w:r>
          </w:p>
          <w:p>
            <w:pPr>
              <w:spacing w:line="400" w:lineRule="exact"/>
              <w:jc w:val="center"/>
              <w:rPr>
                <w:rFonts w:ascii="宋体" w:hAnsi="宋体" w:eastAsia="仿宋_GB2312"/>
                <w:sz w:val="28"/>
              </w:rPr>
            </w:pPr>
          </w:p>
          <w:p>
            <w:pPr>
              <w:spacing w:line="400" w:lineRule="exact"/>
              <w:jc w:val="center"/>
              <w:rPr>
                <w:rFonts w:ascii="宋体" w:hAnsi="宋体" w:eastAsia="仿宋_GB2312"/>
                <w:sz w:val="28"/>
              </w:rPr>
            </w:pPr>
            <w:r>
              <w:rPr>
                <w:rFonts w:hint="eastAsia" w:ascii="宋体" w:hAnsi="宋体" w:eastAsia="仿宋_GB2312"/>
                <w:sz w:val="28"/>
              </w:rPr>
              <w:t>明</w:t>
            </w:r>
          </w:p>
        </w:tc>
        <w:tc>
          <w:tcPr>
            <w:tcW w:w="8154" w:type="dxa"/>
            <w:tcBorders>
              <w:top w:val="single" w:color="auto" w:sz="4" w:space="0"/>
              <w:left w:val="single" w:color="auto" w:sz="4" w:space="0"/>
              <w:bottom w:val="single" w:color="auto" w:sz="4" w:space="0"/>
              <w:right w:val="single" w:color="auto" w:sz="4" w:space="0"/>
            </w:tcBorders>
          </w:tcPr>
          <w:p>
            <w:pPr>
              <w:spacing w:beforeLines="50"/>
              <w:jc w:val="left"/>
              <w:rPr>
                <w:rFonts w:ascii="宋体" w:hAnsi="宋体" w:eastAsia="仿宋_GB2312"/>
                <w:sz w:val="28"/>
              </w:rPr>
            </w:pPr>
            <w:r>
              <w:rPr>
                <w:rFonts w:hint="eastAsia" w:ascii="宋体" w:hAnsi="宋体" w:eastAsia="仿宋_GB2312"/>
                <w:sz w:val="28"/>
              </w:rPr>
              <w:t xml:space="preserve">    本人对以上内容及全部附件材料进行了审查，对其客观性和真实性负责。</w:t>
            </w:r>
          </w:p>
          <w:p>
            <w:pPr>
              <w:ind w:firstLine="1820" w:firstLineChars="650"/>
              <w:jc w:val="left"/>
              <w:rPr>
                <w:rFonts w:ascii="宋体" w:hAnsi="宋体" w:eastAsia="仿宋_GB2312"/>
                <w:sz w:val="28"/>
              </w:rPr>
            </w:pPr>
            <w:r>
              <w:rPr>
                <w:rFonts w:hint="eastAsia" w:ascii="宋体" w:hAnsi="宋体" w:eastAsia="仿宋_GB2312"/>
                <w:sz w:val="28"/>
              </w:rPr>
              <w:t>候选人签名：               年    月    日</w:t>
            </w:r>
          </w:p>
        </w:tc>
      </w:tr>
    </w:tbl>
    <w:p>
      <w:bookmarkStart w:id="2" w:name="_GoBack"/>
      <w:bookmarkEnd w:id="2"/>
    </w:p>
    <w:sectPr>
      <w:headerReference r:id="rId3" w:type="default"/>
      <w:footerReference r:id="rId4" w:type="default"/>
      <w:footerReference r:id="rId5" w:type="even"/>
      <w:pgSz w:w="11906" w:h="16838"/>
      <w:pgMar w:top="1418" w:right="1247" w:bottom="1418" w:left="1247" w:header="851" w:footer="992" w:gutter="0"/>
      <w:pgNumType w:fmt="numberInDash"/>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仿宋_GB2312">
    <w:altName w:val="仿宋"/>
    <w:panose1 w:val="00000000000000000000"/>
    <w:charset w:val="86"/>
    <w:family w:val="auto"/>
    <w:pitch w:val="default"/>
    <w:sig w:usb0="00000000" w:usb1="00000000" w:usb2="00000010" w:usb3="00000000" w:csb0="00040000" w:csb1="00000000"/>
  </w:font>
  <w:font w:name="方正小标宋简体">
    <w:altName w:val="微软雅黑"/>
    <w:panose1 w:val="00000000000000000000"/>
    <w:charset w:val="86"/>
    <w:family w:val="auto"/>
    <w:pitch w:val="default"/>
    <w:sig w:usb0="00000000" w:usb1="00000000" w:usb2="00000010" w:usb3="00000000" w:csb0="00040000"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rPr>
        <w:rStyle w:val="8"/>
        <w:rFonts w:ascii="宋体" w:hAnsi="宋体"/>
        <w:sz w:val="28"/>
        <w:szCs w:val="28"/>
      </w:rPr>
    </w:pPr>
    <w:r>
      <w:rPr>
        <w:rStyle w:val="8"/>
        <w:rFonts w:ascii="宋体" w:hAnsi="宋体"/>
        <w:sz w:val="28"/>
        <w:szCs w:val="28"/>
      </w:rPr>
      <w:fldChar w:fldCharType="begin"/>
    </w:r>
    <w:r>
      <w:rPr>
        <w:rStyle w:val="8"/>
        <w:rFonts w:ascii="宋体" w:hAnsi="宋体"/>
        <w:sz w:val="28"/>
        <w:szCs w:val="28"/>
      </w:rPr>
      <w:instrText xml:space="preserve">PAGE  </w:instrText>
    </w:r>
    <w:r>
      <w:rPr>
        <w:rStyle w:val="8"/>
        <w:rFonts w:ascii="宋体" w:hAnsi="宋体"/>
        <w:sz w:val="28"/>
        <w:szCs w:val="28"/>
      </w:rPr>
      <w:fldChar w:fldCharType="separate"/>
    </w:r>
    <w:r>
      <w:rPr>
        <w:rStyle w:val="8"/>
        <w:rFonts w:ascii="宋体" w:hAnsi="宋体"/>
        <w:sz w:val="28"/>
        <w:szCs w:val="28"/>
      </w:rPr>
      <w:t>- 12 -</w:t>
    </w:r>
    <w:r>
      <w:rPr>
        <w:rStyle w:val="8"/>
        <w:rFonts w:ascii="宋体" w:hAnsi="宋体"/>
        <w:sz w:val="28"/>
        <w:szCs w:val="28"/>
      </w:rPr>
      <w:fldChar w:fldCharType="end"/>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rPr>
        <w:rStyle w:val="8"/>
      </w:rPr>
    </w:pPr>
    <w:r>
      <w:rPr>
        <w:rStyle w:val="8"/>
      </w:rPr>
      <w:fldChar w:fldCharType="begin"/>
    </w:r>
    <w:r>
      <w:rPr>
        <w:rStyle w:val="8"/>
      </w:rPr>
      <w:instrText xml:space="preserve">PAGE  </w:instrText>
    </w:r>
    <w:r>
      <w:rPr>
        <w:rStyle w:val="8"/>
      </w:rPr>
      <w:fldChar w:fldCharType="end"/>
    </w:r>
  </w:p>
  <w:p>
    <w:pPr>
      <w:pStyle w:val="4"/>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4316"/>
    <w:rsid w:val="000071A1"/>
    <w:rsid w:val="000D50A1"/>
    <w:rsid w:val="000D630D"/>
    <w:rsid w:val="00187F74"/>
    <w:rsid w:val="0020785B"/>
    <w:rsid w:val="00244316"/>
    <w:rsid w:val="00264C73"/>
    <w:rsid w:val="0028084F"/>
    <w:rsid w:val="00334E3B"/>
    <w:rsid w:val="003B141A"/>
    <w:rsid w:val="00410906"/>
    <w:rsid w:val="0045782E"/>
    <w:rsid w:val="00490AFA"/>
    <w:rsid w:val="00593BB6"/>
    <w:rsid w:val="005C0429"/>
    <w:rsid w:val="005F7F3A"/>
    <w:rsid w:val="006526ED"/>
    <w:rsid w:val="006900A1"/>
    <w:rsid w:val="006F4D0A"/>
    <w:rsid w:val="007C39D2"/>
    <w:rsid w:val="00811F65"/>
    <w:rsid w:val="008130E2"/>
    <w:rsid w:val="008461A2"/>
    <w:rsid w:val="0086117D"/>
    <w:rsid w:val="008711E8"/>
    <w:rsid w:val="008A3E1C"/>
    <w:rsid w:val="0092068B"/>
    <w:rsid w:val="00974B4E"/>
    <w:rsid w:val="00A10592"/>
    <w:rsid w:val="00A7073A"/>
    <w:rsid w:val="00AB2897"/>
    <w:rsid w:val="00AB5D13"/>
    <w:rsid w:val="00B92A47"/>
    <w:rsid w:val="00BC04DF"/>
    <w:rsid w:val="00CB5C63"/>
    <w:rsid w:val="00D03D95"/>
    <w:rsid w:val="00D173AF"/>
    <w:rsid w:val="00D74A67"/>
    <w:rsid w:val="00E31328"/>
    <w:rsid w:val="00E371B7"/>
    <w:rsid w:val="00E85993"/>
    <w:rsid w:val="00EC1AC3"/>
    <w:rsid w:val="22482D9F"/>
    <w:rsid w:val="34DF62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Plain Text"/>
    <w:basedOn w:val="1"/>
    <w:link w:val="10"/>
    <w:qFormat/>
    <w:uiPriority w:val="0"/>
    <w:rPr>
      <w:rFonts w:ascii="宋体" w:hAnsi="Courier New" w:eastAsia="宋体" w:cs="Courier New"/>
      <w:szCs w:val="21"/>
    </w:rPr>
  </w:style>
  <w:style w:type="paragraph" w:styleId="3">
    <w:name w:val="Balloon Text"/>
    <w:basedOn w:val="1"/>
    <w:link w:val="16"/>
    <w:unhideWhenUsed/>
    <w:qFormat/>
    <w:uiPriority w:val="99"/>
    <w:rPr>
      <w:sz w:val="18"/>
      <w:szCs w:val="18"/>
    </w:rPr>
  </w:style>
  <w:style w:type="paragraph" w:styleId="4">
    <w:name w:val="footer"/>
    <w:basedOn w:val="1"/>
    <w:link w:val="12"/>
    <w:uiPriority w:val="0"/>
    <w:pPr>
      <w:tabs>
        <w:tab w:val="center" w:pos="4153"/>
        <w:tab w:val="right" w:pos="8306"/>
      </w:tabs>
      <w:snapToGrid w:val="0"/>
      <w:jc w:val="left"/>
    </w:pPr>
    <w:rPr>
      <w:rFonts w:ascii="Times New Roman" w:hAnsi="Times New Roman" w:eastAsia="宋体" w:cs="Times New Roman"/>
      <w:sz w:val="18"/>
      <w:szCs w:val="18"/>
    </w:rPr>
  </w:style>
  <w:style w:type="paragraph" w:styleId="5">
    <w:name w:val="header"/>
    <w:basedOn w:val="1"/>
    <w:link w:val="11"/>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6">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styleId="8">
    <w:name w:val="page number"/>
    <w:basedOn w:val="7"/>
    <w:qFormat/>
    <w:uiPriority w:val="0"/>
  </w:style>
  <w:style w:type="character" w:customStyle="1" w:styleId="10">
    <w:name w:val="纯文本 Char"/>
    <w:basedOn w:val="7"/>
    <w:link w:val="2"/>
    <w:uiPriority w:val="0"/>
    <w:rPr>
      <w:rFonts w:ascii="宋体" w:hAnsi="Courier New" w:eastAsia="宋体" w:cs="Courier New"/>
      <w:szCs w:val="21"/>
    </w:rPr>
  </w:style>
  <w:style w:type="character" w:customStyle="1" w:styleId="11">
    <w:name w:val="页眉 Char"/>
    <w:basedOn w:val="7"/>
    <w:link w:val="5"/>
    <w:uiPriority w:val="0"/>
    <w:rPr>
      <w:rFonts w:ascii="Times New Roman" w:hAnsi="Times New Roman" w:eastAsia="宋体" w:cs="Times New Roman"/>
      <w:sz w:val="18"/>
      <w:szCs w:val="18"/>
    </w:rPr>
  </w:style>
  <w:style w:type="character" w:customStyle="1" w:styleId="12">
    <w:name w:val="页脚 Char"/>
    <w:basedOn w:val="7"/>
    <w:link w:val="4"/>
    <w:qFormat/>
    <w:uiPriority w:val="0"/>
    <w:rPr>
      <w:rFonts w:ascii="Times New Roman" w:hAnsi="Times New Roman" w:eastAsia="宋体" w:cs="Times New Roman"/>
      <w:sz w:val="18"/>
      <w:szCs w:val="18"/>
    </w:rPr>
  </w:style>
  <w:style w:type="character" w:customStyle="1" w:styleId="13">
    <w:name w:val="纯文本 Char1"/>
    <w:basedOn w:val="7"/>
    <w:semiHidden/>
    <w:uiPriority w:val="99"/>
    <w:rPr>
      <w:rFonts w:ascii="宋体" w:hAnsi="Courier New" w:eastAsia="宋体" w:cs="Courier New"/>
      <w:szCs w:val="21"/>
    </w:rPr>
  </w:style>
  <w:style w:type="paragraph" w:customStyle="1" w:styleId="14">
    <w:name w:val="本案正文"/>
    <w:basedOn w:val="1"/>
    <w:qFormat/>
    <w:uiPriority w:val="99"/>
    <w:pPr>
      <w:spacing w:line="320" w:lineRule="exact"/>
      <w:ind w:firstLine="200" w:firstLineChars="200"/>
    </w:pPr>
    <w:rPr>
      <w:rFonts w:ascii="仿宋_GB2312" w:hAnsi="Calibri" w:eastAsia="宋体" w:cs="仿宋_GB2312"/>
      <w:sz w:val="24"/>
      <w:szCs w:val="24"/>
    </w:rPr>
  </w:style>
  <w:style w:type="paragraph" w:styleId="15">
    <w:name w:val="List Paragraph"/>
    <w:basedOn w:val="1"/>
    <w:qFormat/>
    <w:uiPriority w:val="34"/>
    <w:pPr>
      <w:ind w:firstLine="420" w:firstLineChars="200"/>
    </w:pPr>
  </w:style>
  <w:style w:type="character" w:customStyle="1" w:styleId="16">
    <w:name w:val="批注框文本 Char"/>
    <w:basedOn w:val="7"/>
    <w:link w:val="3"/>
    <w:semiHidden/>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Microsoft\Templates\&#38397;&#31185;&#21327;&#21457;[2017].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闽科协发[2017]</Template>
  <Pages>12</Pages>
  <Words>1905</Words>
  <Characters>10862</Characters>
  <Lines>90</Lines>
  <Paragraphs>25</Paragraphs>
  <TotalTime>0</TotalTime>
  <ScaleCrop>false</ScaleCrop>
  <LinksUpToDate>false</LinksUpToDate>
  <CharactersWithSpaces>12742</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2017-11-16T02:55:00Z</dcterms:created>
  <dc:creator>admin</dc:creator>
  <cp:lastModifiedBy>Administrator</cp:lastModifiedBy>
  <cp:lastPrinted>2017-11-16T01:45:00Z</cp:lastPrinted>
  <dcterms:modified xsi:type="dcterms:W3CDTF">2017-12-06T08:21:38Z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