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黑体"/>
          <w:sz w:val="32"/>
          <w:szCs w:val="32"/>
          <w:lang w:eastAsia="zh-CN"/>
        </w:rPr>
      </w:pPr>
      <w:r>
        <w:rPr>
          <w:rFonts w:hint="eastAsia" w:ascii="宋体" w:hAnsi="宋体" w:eastAsia="黑体"/>
          <w:sz w:val="32"/>
          <w:szCs w:val="32"/>
          <w:lang w:eastAsia="zh-CN"/>
        </w:rPr>
        <w:t>郑寿添基本情况和主要成果</w:t>
      </w:r>
    </w:p>
    <w:p>
      <w:pPr>
        <w:widowControl/>
        <w:jc w:val="left"/>
        <w:rPr>
          <w:rFonts w:ascii="宋体" w:hAnsi="宋体"/>
        </w:rPr>
      </w:pPr>
      <w:r>
        <w:rPr>
          <w:rFonts w:hint="eastAsia" w:ascii="宋体" w:hAnsi="宋体" w:eastAsia="黑体"/>
          <w:sz w:val="30"/>
          <w:szCs w:val="30"/>
        </w:rPr>
        <w:t>一、个人信息</w:t>
      </w:r>
    </w:p>
    <w:tbl>
      <w:tblPr>
        <w:tblStyle w:val="10"/>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1808"/>
        <w:gridCol w:w="1808"/>
        <w:gridCol w:w="1808"/>
        <w:gridCol w:w="180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姓    名</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郑寿添</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性    别</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男</w:t>
            </w:r>
          </w:p>
        </w:tc>
        <w:tc>
          <w:tcPr>
            <w:tcW w:w="1808"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ascii="宋体" w:hAnsi="宋体" w:eastAsia="华文仿宋"/>
                <w:sz w:val="28"/>
                <w:szCs w:val="28"/>
              </w:rPr>
              <w:drawing>
                <wp:anchor distT="0" distB="0" distL="114300" distR="114300" simplePos="0" relativeHeight="251658240" behindDoc="0" locked="0" layoutInCell="1" allowOverlap="1">
                  <wp:simplePos x="0" y="0"/>
                  <wp:positionH relativeFrom="column">
                    <wp:posOffset>-15875</wp:posOffset>
                  </wp:positionH>
                  <wp:positionV relativeFrom="paragraph">
                    <wp:posOffset>-11430</wp:posOffset>
                  </wp:positionV>
                  <wp:extent cx="921385" cy="120904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921385" cy="1209040"/>
                          </a:xfrm>
                          <a:prstGeom prst="rect">
                            <a:avLst/>
                          </a:prstGeom>
                        </pic:spPr>
                      </pic:pic>
                    </a:graphicData>
                  </a:graphic>
                </wp:anchor>
              </w:drawing>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pacing w:val="-4"/>
                <w:sz w:val="28"/>
                <w:szCs w:val="28"/>
              </w:rPr>
              <w:t>出生日期</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1978年11月</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民    族</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汉</w:t>
            </w:r>
          </w:p>
        </w:tc>
        <w:tc>
          <w:tcPr>
            <w:tcW w:w="1808" w:type="dxa"/>
            <w:vMerge w:val="continue"/>
            <w:tcBorders>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学    历</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研究生</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    位</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博士</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4"/>
                <w:sz w:val="28"/>
                <w:szCs w:val="28"/>
              </w:rPr>
            </w:pPr>
            <w:r>
              <w:rPr>
                <w:rFonts w:hint="eastAsia" w:ascii="宋体" w:hAnsi="宋体" w:eastAsia="华文仿宋"/>
                <w:sz w:val="28"/>
                <w:szCs w:val="28"/>
              </w:rPr>
              <w:t>籍    贯</w:t>
            </w:r>
          </w:p>
        </w:tc>
        <w:tc>
          <w:tcPr>
            <w:tcW w:w="1808" w:type="dxa"/>
            <w:tcBorders>
              <w:top w:val="single" w:color="auto" w:sz="4" w:space="0"/>
              <w:left w:val="single" w:color="auto" w:sz="4" w:space="0"/>
              <w:bottom w:val="nil"/>
              <w:right w:val="single" w:color="auto" w:sz="4" w:space="0"/>
            </w:tcBorders>
            <w:vAlign w:val="center"/>
          </w:tcPr>
          <w:p>
            <w:pPr>
              <w:spacing w:line="400" w:lineRule="exact"/>
              <w:ind w:firstLine="140" w:firstLineChars="50"/>
              <w:rPr>
                <w:rFonts w:ascii="宋体" w:hAnsi="宋体" w:eastAsia="华文仿宋"/>
                <w:sz w:val="28"/>
                <w:szCs w:val="28"/>
              </w:rPr>
            </w:pPr>
            <w:r>
              <w:rPr>
                <w:rFonts w:hint="eastAsia" w:ascii="宋体" w:hAnsi="宋体" w:eastAsia="华文仿宋"/>
                <w:sz w:val="28"/>
                <w:szCs w:val="28"/>
              </w:rPr>
              <w:t>福建莆田</w:t>
            </w:r>
          </w:p>
        </w:tc>
        <w:tc>
          <w:tcPr>
            <w:tcW w:w="1808" w:type="dxa"/>
            <w:tcBorders>
              <w:top w:val="single" w:color="auto" w:sz="4" w:space="0"/>
              <w:left w:val="single" w:color="auto" w:sz="4" w:space="0"/>
              <w:bottom w:val="nil"/>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政治面貌</w:t>
            </w:r>
          </w:p>
        </w:tc>
        <w:tc>
          <w:tcPr>
            <w:tcW w:w="1808" w:type="dxa"/>
            <w:tcBorders>
              <w:top w:val="single" w:color="auto" w:sz="4" w:space="0"/>
              <w:left w:val="single" w:color="auto" w:sz="4" w:space="0"/>
              <w:bottom w:val="nil"/>
              <w:right w:val="single" w:color="auto" w:sz="4" w:space="0"/>
            </w:tcBorders>
            <w:vAlign w:val="center"/>
          </w:tcPr>
          <w:p>
            <w:pPr>
              <w:spacing w:line="400" w:lineRule="exact"/>
              <w:rPr>
                <w:rFonts w:ascii="宋体" w:hAnsi="宋体" w:eastAsia="华文仿宋"/>
                <w:sz w:val="28"/>
                <w:szCs w:val="28"/>
              </w:rPr>
            </w:pPr>
            <w:r>
              <w:rPr>
                <w:rFonts w:hint="eastAsia" w:ascii="宋体" w:hAnsi="宋体" w:eastAsia="华文仿宋"/>
                <w:sz w:val="28"/>
                <w:szCs w:val="28"/>
              </w:rPr>
              <w:t>中共党员</w:t>
            </w: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身份证号码</w:t>
            </w:r>
          </w:p>
        </w:tc>
        <w:tc>
          <w:tcPr>
            <w:tcW w:w="7232"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专业技术职务</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教授</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z w:val="28"/>
                <w:szCs w:val="28"/>
              </w:rPr>
              <w:t>专业专长</w:t>
            </w:r>
          </w:p>
        </w:tc>
        <w:tc>
          <w:tcPr>
            <w:tcW w:w="361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无机化学，结构化学</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9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宋体" w:hAnsi="宋体" w:eastAsia="华文仿宋"/>
                <w:sz w:val="28"/>
                <w:szCs w:val="28"/>
              </w:rPr>
            </w:pPr>
            <w:r>
              <w:rPr>
                <w:rFonts w:hint="eastAsia" w:ascii="宋体" w:hAnsi="宋体" w:eastAsia="华文仿宋"/>
                <w:sz w:val="28"/>
                <w:szCs w:val="28"/>
              </w:rPr>
              <w:t>工作单位及</w:t>
            </w:r>
          </w:p>
          <w:p>
            <w:pPr>
              <w:spacing w:line="340" w:lineRule="exact"/>
              <w:jc w:val="center"/>
              <w:rPr>
                <w:rFonts w:ascii="宋体" w:hAnsi="宋体" w:eastAsia="华文仿宋"/>
                <w:sz w:val="28"/>
                <w:szCs w:val="28"/>
              </w:rPr>
            </w:pPr>
            <w:r>
              <w:rPr>
                <w:rFonts w:hint="eastAsia" w:ascii="宋体" w:hAnsi="宋体" w:eastAsia="华文仿宋"/>
                <w:sz w:val="28"/>
                <w:szCs w:val="28"/>
              </w:rPr>
              <w:t>行政职务</w:t>
            </w:r>
          </w:p>
        </w:tc>
        <w:tc>
          <w:tcPr>
            <w:tcW w:w="7232"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福州大学化学学院、无行政职务</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94"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单位性质</w:t>
            </w:r>
          </w:p>
        </w:tc>
        <w:tc>
          <w:tcPr>
            <w:tcW w:w="7232"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eastAsia="华文仿宋"/>
                <w:sz w:val="28"/>
                <w:szCs w:val="28"/>
              </w:rPr>
            </w:pPr>
            <w:r>
              <w:rPr>
                <w:rFonts w:hint="eastAsia" w:ascii="宋体" w:hAnsi="宋体" w:eastAsia="华文仿宋"/>
                <w:sz w:val="28"/>
                <w:szCs w:val="28"/>
              </w:rPr>
              <w:t xml:space="preserve">□政府机关 </w:t>
            </w:r>
            <w:r>
              <w:rPr>
                <w:rFonts w:hint="eastAsia" w:ascii="华文仿宋" w:hAnsi="华文仿宋" w:eastAsia="华文仿宋"/>
                <w:sz w:val="28"/>
                <w:szCs w:val="28"/>
              </w:rPr>
              <w:t>√</w:t>
            </w:r>
            <w:r>
              <w:rPr>
                <w:rFonts w:hint="eastAsia" w:ascii="宋体" w:hAnsi="宋体" w:eastAsia="华文仿宋"/>
                <w:sz w:val="28"/>
                <w:szCs w:val="28"/>
              </w:rPr>
              <w:t>□高等院校 □科研院所 □其他事业单位</w:t>
            </w:r>
          </w:p>
          <w:p>
            <w:pPr>
              <w:spacing w:line="360" w:lineRule="exact"/>
              <w:rPr>
                <w:rFonts w:ascii="宋体" w:hAnsi="宋体" w:eastAsia="华文仿宋"/>
                <w:sz w:val="28"/>
                <w:szCs w:val="28"/>
              </w:rPr>
            </w:pPr>
            <w:r>
              <w:rPr>
                <w:rFonts w:hint="eastAsia" w:ascii="宋体" w:hAnsi="宋体" w:eastAsia="华文仿宋"/>
                <w:sz w:val="28"/>
                <w:szCs w:val="28"/>
              </w:rPr>
              <w:t>□国有企业 □民营企业 □外资企业 □其他</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794"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通信地址</w:t>
            </w:r>
          </w:p>
        </w:tc>
        <w:tc>
          <w:tcPr>
            <w:tcW w:w="7232"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福建省福州市福州地区大学新区学园路2号</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单位所在地</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福建福州</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邮政编码</w:t>
            </w:r>
          </w:p>
        </w:tc>
        <w:tc>
          <w:tcPr>
            <w:tcW w:w="361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350116</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单位电话</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0591-22866124</w:t>
            </w:r>
          </w:p>
        </w:tc>
        <w:tc>
          <w:tcPr>
            <w:tcW w:w="180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手    机</w:t>
            </w:r>
          </w:p>
        </w:tc>
        <w:tc>
          <w:tcPr>
            <w:tcW w:w="361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传真号码</w:t>
            </w:r>
          </w:p>
        </w:tc>
        <w:tc>
          <w:tcPr>
            <w:tcW w:w="1808" w:type="dxa"/>
            <w:tcBorders>
              <w:top w:val="single" w:color="auto" w:sz="4" w:space="0"/>
              <w:left w:val="single" w:color="auto" w:sz="4" w:space="0"/>
              <w:bottom w:val="single" w:color="auto" w:sz="4" w:space="0"/>
            </w:tcBorders>
            <w:vAlign w:val="center"/>
          </w:tcPr>
          <w:p>
            <w:pPr>
              <w:spacing w:line="400" w:lineRule="exact"/>
              <w:jc w:val="center"/>
              <w:rPr>
                <w:rFonts w:ascii="宋体" w:hAnsi="宋体" w:eastAsia="华文仿宋"/>
                <w:sz w:val="28"/>
                <w:szCs w:val="28"/>
              </w:rPr>
            </w:pPr>
          </w:p>
        </w:tc>
        <w:tc>
          <w:tcPr>
            <w:tcW w:w="1808" w:type="dxa"/>
            <w:tcBorders>
              <w:top w:val="single" w:color="auto" w:sz="4" w:space="0"/>
              <w:left w:val="single" w:color="auto" w:sz="4" w:space="0"/>
              <w:bottom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电子信箱</w:t>
            </w:r>
          </w:p>
        </w:tc>
        <w:tc>
          <w:tcPr>
            <w:tcW w:w="361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stzheng@fzu.edu.cn</w:t>
            </w:r>
          </w:p>
        </w:tc>
      </w:tr>
    </w:tbl>
    <w:p>
      <w:pPr>
        <w:rPr>
          <w:rFonts w:ascii="宋体" w:hAnsi="宋体"/>
        </w:rPr>
      </w:pPr>
    </w:p>
    <w:p>
      <w:pPr>
        <w:rPr>
          <w:rFonts w:ascii="宋体" w:hAnsi="宋体" w:eastAsia="黑体"/>
          <w:sz w:val="30"/>
          <w:szCs w:val="30"/>
        </w:rPr>
      </w:pPr>
      <w:r>
        <w:rPr>
          <w:rFonts w:hint="eastAsia" w:ascii="宋体" w:hAnsi="宋体" w:eastAsia="黑体"/>
          <w:sz w:val="30"/>
          <w:szCs w:val="30"/>
        </w:rPr>
        <w:t>二、主要学历（从大专或大学填起，6项以内）</w:t>
      </w:r>
    </w:p>
    <w:tbl>
      <w:tblPr>
        <w:tblStyle w:val="10"/>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3121"/>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807"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校（院）及系名称</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专业</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1997.9-2001.6</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厦门大学</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化学</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理学学士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2002.9-2005.6</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中科院福建物质结构研究所</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无机化学</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理学硕士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2006.9-2009.1</w:t>
            </w:r>
          </w:p>
        </w:tc>
        <w:tc>
          <w:tcPr>
            <w:tcW w:w="312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中科院福建物质结构研究所</w:t>
            </w:r>
          </w:p>
        </w:tc>
        <w:tc>
          <w:tcPr>
            <w:tcW w:w="2410" w:type="dxa"/>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物理化学</w:t>
            </w:r>
          </w:p>
        </w:tc>
        <w:tc>
          <w:tcPr>
            <w:tcW w:w="1701" w:type="dxa"/>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理学博士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宋体" w:hAnsi="宋体" w:eastAsia="华文仿宋"/>
                <w:spacing w:val="-20"/>
                <w:sz w:val="28"/>
                <w:szCs w:val="28"/>
              </w:rPr>
            </w:pPr>
          </w:p>
        </w:tc>
        <w:tc>
          <w:tcPr>
            <w:tcW w:w="3121" w:type="dxa"/>
            <w:vAlign w:val="center"/>
          </w:tcPr>
          <w:p>
            <w:pPr>
              <w:spacing w:line="400" w:lineRule="exact"/>
              <w:jc w:val="center"/>
              <w:rPr>
                <w:rFonts w:ascii="宋体" w:hAnsi="宋体" w:eastAsia="华文仿宋"/>
                <w:sz w:val="28"/>
                <w:szCs w:val="28"/>
              </w:rPr>
            </w:pPr>
          </w:p>
        </w:tc>
        <w:tc>
          <w:tcPr>
            <w:tcW w:w="2410" w:type="dxa"/>
            <w:vAlign w:val="center"/>
          </w:tcPr>
          <w:p>
            <w:pPr>
              <w:spacing w:line="400" w:lineRule="exact"/>
              <w:jc w:val="center"/>
              <w:rPr>
                <w:rFonts w:ascii="宋体" w:hAnsi="宋体" w:eastAsia="华文仿宋"/>
                <w:spacing w:val="-20"/>
                <w:sz w:val="28"/>
                <w:szCs w:val="28"/>
              </w:rPr>
            </w:pPr>
          </w:p>
        </w:tc>
        <w:tc>
          <w:tcPr>
            <w:tcW w:w="1701" w:type="dxa"/>
            <w:vAlign w:val="center"/>
          </w:tcPr>
          <w:p>
            <w:pPr>
              <w:spacing w:line="400" w:lineRule="exact"/>
              <w:jc w:val="center"/>
              <w:rPr>
                <w:rFonts w:ascii="宋体" w:hAnsi="宋体"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宋体" w:hAnsi="宋体" w:eastAsia="华文仿宋"/>
                <w:spacing w:val="-20"/>
                <w:sz w:val="28"/>
                <w:szCs w:val="28"/>
              </w:rPr>
            </w:pPr>
          </w:p>
        </w:tc>
        <w:tc>
          <w:tcPr>
            <w:tcW w:w="3121" w:type="dxa"/>
            <w:vAlign w:val="center"/>
          </w:tcPr>
          <w:p>
            <w:pPr>
              <w:spacing w:line="400" w:lineRule="exact"/>
              <w:jc w:val="center"/>
              <w:rPr>
                <w:rFonts w:ascii="宋体" w:hAnsi="宋体" w:eastAsia="华文仿宋"/>
                <w:sz w:val="28"/>
                <w:szCs w:val="28"/>
              </w:rPr>
            </w:pPr>
          </w:p>
        </w:tc>
        <w:tc>
          <w:tcPr>
            <w:tcW w:w="2410" w:type="dxa"/>
            <w:vAlign w:val="center"/>
          </w:tcPr>
          <w:p>
            <w:pPr>
              <w:spacing w:line="400" w:lineRule="exact"/>
              <w:jc w:val="center"/>
              <w:rPr>
                <w:rFonts w:ascii="宋体" w:hAnsi="宋体" w:eastAsia="华文仿宋"/>
                <w:spacing w:val="-20"/>
                <w:sz w:val="28"/>
                <w:szCs w:val="28"/>
              </w:rPr>
            </w:pPr>
          </w:p>
        </w:tc>
        <w:tc>
          <w:tcPr>
            <w:tcW w:w="1701" w:type="dxa"/>
            <w:vAlign w:val="center"/>
          </w:tcPr>
          <w:p>
            <w:pPr>
              <w:spacing w:line="400" w:lineRule="exact"/>
              <w:jc w:val="center"/>
              <w:rPr>
                <w:rFonts w:ascii="宋体" w:hAnsi="宋体" w:eastAsia="华文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jc w:val="center"/>
        </w:trPr>
        <w:tc>
          <w:tcPr>
            <w:tcW w:w="1807" w:type="dxa"/>
            <w:vAlign w:val="center"/>
          </w:tcPr>
          <w:p>
            <w:pPr>
              <w:spacing w:line="400" w:lineRule="exact"/>
              <w:jc w:val="center"/>
              <w:rPr>
                <w:rFonts w:ascii="宋体" w:hAnsi="宋体" w:eastAsia="华文仿宋"/>
                <w:spacing w:val="-20"/>
                <w:sz w:val="28"/>
                <w:szCs w:val="28"/>
              </w:rPr>
            </w:pPr>
          </w:p>
        </w:tc>
        <w:tc>
          <w:tcPr>
            <w:tcW w:w="3121" w:type="dxa"/>
            <w:vAlign w:val="center"/>
          </w:tcPr>
          <w:p>
            <w:pPr>
              <w:spacing w:line="400" w:lineRule="exact"/>
              <w:jc w:val="center"/>
              <w:rPr>
                <w:rFonts w:ascii="宋体" w:hAnsi="宋体" w:eastAsia="华文仿宋"/>
                <w:sz w:val="28"/>
                <w:szCs w:val="28"/>
              </w:rPr>
            </w:pPr>
          </w:p>
        </w:tc>
        <w:tc>
          <w:tcPr>
            <w:tcW w:w="2410" w:type="dxa"/>
            <w:vAlign w:val="center"/>
          </w:tcPr>
          <w:p>
            <w:pPr>
              <w:spacing w:line="400" w:lineRule="exact"/>
              <w:jc w:val="center"/>
              <w:rPr>
                <w:rFonts w:ascii="宋体" w:hAnsi="宋体" w:eastAsia="华文仿宋"/>
                <w:spacing w:val="-20"/>
                <w:sz w:val="28"/>
                <w:szCs w:val="28"/>
              </w:rPr>
            </w:pPr>
          </w:p>
        </w:tc>
        <w:tc>
          <w:tcPr>
            <w:tcW w:w="1701" w:type="dxa"/>
            <w:vAlign w:val="center"/>
          </w:tcPr>
          <w:p>
            <w:pPr>
              <w:spacing w:line="400" w:lineRule="exact"/>
              <w:jc w:val="center"/>
              <w:rPr>
                <w:rFonts w:ascii="宋体" w:hAnsi="宋体" w:eastAsia="华文仿宋"/>
                <w:sz w:val="28"/>
                <w:szCs w:val="28"/>
              </w:rPr>
            </w:pPr>
          </w:p>
        </w:tc>
      </w:tr>
    </w:tbl>
    <w:p>
      <w:pPr>
        <w:rPr>
          <w:rFonts w:ascii="宋体" w:hAnsi="宋体" w:eastAsia="黑体"/>
          <w:sz w:val="30"/>
          <w:szCs w:val="30"/>
        </w:rPr>
      </w:pPr>
      <w:r>
        <w:rPr>
          <w:rFonts w:ascii="宋体" w:hAnsi="宋体" w:eastAsia="黑体"/>
          <w:sz w:val="30"/>
          <w:szCs w:val="30"/>
        </w:rPr>
        <w:br w:type="page"/>
      </w:r>
      <w:r>
        <w:rPr>
          <w:rFonts w:hint="eastAsia" w:ascii="宋体" w:hAnsi="宋体" w:eastAsia="黑体"/>
          <w:sz w:val="30"/>
          <w:szCs w:val="30"/>
        </w:rPr>
        <w:t>三、主要经历（8项以内）</w:t>
      </w:r>
    </w:p>
    <w:tbl>
      <w:tblPr>
        <w:tblStyle w:val="10"/>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2026"/>
        <w:gridCol w:w="4178"/>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20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1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工作单位</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20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2001.7-2005.12</w:t>
            </w:r>
          </w:p>
        </w:tc>
        <w:tc>
          <w:tcPr>
            <w:tcW w:w="41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中科院福建物质结构研</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研究实习员</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20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2006.1-2009.8</w:t>
            </w:r>
          </w:p>
        </w:tc>
        <w:tc>
          <w:tcPr>
            <w:tcW w:w="41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中科院福建物质结构研</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助理研究员</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20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2009.9-2013.5</w:t>
            </w:r>
          </w:p>
        </w:tc>
        <w:tc>
          <w:tcPr>
            <w:tcW w:w="41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美国加州州立大学长滩分校生化系</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博士后</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20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2013.6-至今</w:t>
            </w:r>
          </w:p>
        </w:tc>
        <w:tc>
          <w:tcPr>
            <w:tcW w:w="41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福州大学化学学院</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教授</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20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1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20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1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20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1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202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1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bl>
    <w:p>
      <w:pPr>
        <w:rPr>
          <w:rFonts w:ascii="宋体" w:hAnsi="宋体"/>
        </w:rPr>
      </w:pPr>
    </w:p>
    <w:p>
      <w:pPr>
        <w:rPr>
          <w:rFonts w:ascii="宋体" w:hAnsi="宋体" w:eastAsia="黑体"/>
          <w:sz w:val="30"/>
          <w:szCs w:val="30"/>
        </w:rPr>
      </w:pPr>
      <w:r>
        <w:rPr>
          <w:rFonts w:hint="eastAsia" w:ascii="宋体" w:hAnsi="宋体" w:eastAsia="黑体"/>
          <w:sz w:val="30"/>
          <w:szCs w:val="30"/>
        </w:rPr>
        <w:t>四、重要学术任（兼）职（8项以内）</w:t>
      </w:r>
    </w:p>
    <w:tbl>
      <w:tblPr>
        <w:tblStyle w:val="10"/>
        <w:tblW w:w="9039"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807"/>
        <w:gridCol w:w="4397"/>
        <w:gridCol w:w="283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起止年月</w:t>
            </w: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r>
              <w:rPr>
                <w:rFonts w:hint="eastAsia" w:ascii="宋体" w:hAnsi="宋体" w:eastAsia="华文仿宋"/>
                <w:spacing w:val="-20"/>
                <w:sz w:val="28"/>
                <w:szCs w:val="28"/>
              </w:rPr>
              <w:t>名     称</w:t>
            </w: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r>
              <w:rPr>
                <w:rFonts w:hint="eastAsia" w:ascii="宋体" w:hAnsi="宋体" w:eastAsia="华文仿宋"/>
                <w:sz w:val="28"/>
                <w:szCs w:val="28"/>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439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pacing w:val="-20"/>
                <w:sz w:val="28"/>
                <w:szCs w:val="28"/>
              </w:rPr>
            </w:pPr>
          </w:p>
        </w:tc>
        <w:tc>
          <w:tcPr>
            <w:tcW w:w="28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华文仿宋"/>
                <w:sz w:val="28"/>
                <w:szCs w:val="28"/>
              </w:rPr>
            </w:pPr>
          </w:p>
        </w:tc>
      </w:tr>
    </w:tbl>
    <w:p>
      <w:pPr>
        <w:widowControl/>
        <w:jc w:val="left"/>
        <w:rPr>
          <w:rFonts w:ascii="宋体" w:hAnsi="宋体" w:eastAsia="黑体"/>
          <w:sz w:val="30"/>
          <w:szCs w:val="30"/>
        </w:rPr>
      </w:pPr>
      <w:r>
        <w:rPr>
          <w:rFonts w:ascii="宋体" w:hAnsi="宋体"/>
        </w:rPr>
        <w:br w:type="page"/>
      </w:r>
      <w:r>
        <w:rPr>
          <w:rFonts w:hint="eastAsia" w:ascii="宋体" w:hAnsi="宋体" w:eastAsia="黑体"/>
          <w:sz w:val="30"/>
          <w:szCs w:val="30"/>
        </w:rPr>
        <w:t>五、重要科技奖项情况（8项内）</w:t>
      </w:r>
    </w:p>
    <w:tbl>
      <w:tblPr>
        <w:tblStyle w:val="10"/>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87"/>
        <w:gridCol w:w="1636"/>
        <w:gridCol w:w="3428"/>
        <w:gridCol w:w="248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序号</w:t>
            </w:r>
          </w:p>
        </w:tc>
        <w:tc>
          <w:tcPr>
            <w:tcW w:w="163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获奖时间</w:t>
            </w:r>
          </w:p>
        </w:tc>
        <w:tc>
          <w:tcPr>
            <w:tcW w:w="342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奖项名称</w:t>
            </w:r>
          </w:p>
        </w:tc>
        <w:tc>
          <w:tcPr>
            <w:tcW w:w="248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奖励等级（排名）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r>
              <w:rPr>
                <w:rFonts w:hint="eastAsia" w:ascii="宋体" w:hAnsi="宋体" w:eastAsia="仿宋_GB2312"/>
                <w:sz w:val="28"/>
              </w:rPr>
              <w:t>1</w:t>
            </w: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r>
              <w:rPr>
                <w:rFonts w:hint="eastAsia" w:ascii="宋体" w:hAnsi="宋体" w:eastAsia="仿宋_GB2312"/>
                <w:sz w:val="28"/>
              </w:rPr>
              <w:t>2016</w:t>
            </w: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r>
              <w:rPr>
                <w:rFonts w:hint="eastAsia" w:ascii="宋体" w:hAnsi="宋体" w:eastAsia="仿宋_GB2312"/>
                <w:sz w:val="28"/>
              </w:rPr>
              <w:t>氧基簇合物的设计合成与组织策略</w:t>
            </w: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r>
              <w:rPr>
                <w:rFonts w:hint="eastAsia" w:ascii="宋体" w:hAnsi="宋体" w:eastAsia="仿宋_GB2312"/>
                <w:sz w:val="28"/>
              </w:rPr>
              <w:t>国家自然科学二等奖（第二）</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r>
              <w:rPr>
                <w:rFonts w:hint="eastAsia" w:ascii="宋体" w:hAnsi="宋体" w:eastAsia="仿宋_GB2312"/>
                <w:sz w:val="28"/>
              </w:rPr>
              <w:t>2</w:t>
            </w: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r>
              <w:rPr>
                <w:rFonts w:hint="eastAsia" w:ascii="宋体" w:hAnsi="宋体" w:eastAsia="仿宋_GB2312"/>
                <w:sz w:val="28"/>
              </w:rPr>
              <w:t>2011</w:t>
            </w: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r>
              <w:rPr>
                <w:rFonts w:hint="eastAsia" w:ascii="宋体" w:hAnsi="宋体" w:eastAsia="仿宋_GB2312"/>
                <w:sz w:val="28"/>
              </w:rPr>
              <w:t>氧基簇合物的设计合成及性能</w:t>
            </w: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r>
              <w:rPr>
                <w:rFonts w:hint="eastAsia" w:ascii="宋体" w:hAnsi="宋体" w:eastAsia="仿宋_GB2312"/>
                <w:sz w:val="28"/>
              </w:rPr>
              <w:t>福建省自然科学一等奖（第三）</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48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163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hAnsi="宋体" w:eastAsia="仿宋_GB2312"/>
                <w:sz w:val="28"/>
              </w:rPr>
            </w:pPr>
          </w:p>
        </w:tc>
        <w:tc>
          <w:tcPr>
            <w:tcW w:w="3428"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c>
          <w:tcPr>
            <w:tcW w:w="2487" w:type="dxa"/>
            <w:tcBorders>
              <w:top w:val="single" w:color="auto" w:sz="4" w:space="0"/>
              <w:left w:val="single" w:color="auto" w:sz="4" w:space="0"/>
              <w:bottom w:val="single" w:color="auto" w:sz="4" w:space="0"/>
              <w:right w:val="single" w:color="auto" w:sz="4" w:space="0"/>
            </w:tcBorders>
          </w:tcPr>
          <w:p>
            <w:pPr>
              <w:spacing w:line="400" w:lineRule="exact"/>
              <w:rPr>
                <w:rFonts w:ascii="宋体" w:hAnsi="宋体" w:eastAsia="仿宋_GB2312"/>
                <w:sz w:val="28"/>
              </w:rPr>
            </w:pPr>
          </w:p>
        </w:tc>
      </w:tr>
    </w:tbl>
    <w:p>
      <w:pPr>
        <w:rPr>
          <w:rFonts w:ascii="宋体" w:hAnsi="宋体" w:eastAsia="黑体"/>
          <w:sz w:val="30"/>
          <w:szCs w:val="30"/>
        </w:rPr>
      </w:pPr>
    </w:p>
    <w:p>
      <w:pPr>
        <w:widowControl/>
        <w:spacing w:after="312" w:afterLines="100" w:line="400" w:lineRule="exact"/>
        <w:jc w:val="left"/>
        <w:rPr>
          <w:rFonts w:ascii="宋体" w:hAnsi="宋体" w:eastAsia="黑体"/>
          <w:sz w:val="30"/>
          <w:szCs w:val="30"/>
        </w:rPr>
      </w:pPr>
      <w:r>
        <w:rPr>
          <w:rFonts w:hint="eastAsia" w:ascii="宋体" w:hAnsi="宋体" w:eastAsia="黑体"/>
          <w:sz w:val="30"/>
          <w:szCs w:val="30"/>
        </w:rPr>
        <w:t>六、获重大人才培养奖励计划、基金资助项目情况（国家“千人计划”“万人计划”、百千万人才工程、长江学者奖励计划、国家杰出青年科学基金等，5项内）</w:t>
      </w:r>
    </w:p>
    <w:tbl>
      <w:tblPr>
        <w:tblStyle w:val="10"/>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550"/>
        <w:gridCol w:w="1584"/>
        <w:gridCol w:w="5904"/>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序号</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eastAsia="仿宋_GB2312"/>
                <w:sz w:val="28"/>
              </w:rPr>
            </w:pPr>
            <w:r>
              <w:rPr>
                <w:rFonts w:hint="eastAsia" w:ascii="宋体" w:hAnsi="宋体" w:eastAsia="仿宋_GB2312"/>
                <w:sz w:val="28"/>
              </w:rPr>
              <w:t>年度</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eastAsia="仿宋_GB2312"/>
                <w:sz w:val="28"/>
              </w:rPr>
            </w:pPr>
            <w:r>
              <w:rPr>
                <w:rFonts w:hint="eastAsia" w:ascii="宋体" w:hAnsi="宋体" w:eastAsia="仿宋_GB2312"/>
                <w:sz w:val="28"/>
              </w:rPr>
              <w:t>项目名称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1</w:t>
            </w: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sz w:val="24"/>
              </w:rPr>
            </w:pPr>
            <w:r>
              <w:rPr>
                <w:rFonts w:hint="eastAsia" w:ascii="宋体" w:hAnsi="宋体"/>
                <w:sz w:val="24"/>
              </w:rPr>
              <w:t>2014</w:t>
            </w: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sz w:val="24"/>
              </w:rPr>
            </w:pPr>
            <w:r>
              <w:rPr>
                <w:rFonts w:hint="eastAsia" w:ascii="宋体" w:hAnsi="宋体"/>
                <w:sz w:val="24"/>
              </w:rPr>
              <w:t>国家“青年千人”计划</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b/>
                <w:sz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b/>
                <w:sz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b/>
                <w:sz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612" w:hRule="atLeast"/>
          <w:jc w:val="center"/>
        </w:trPr>
        <w:tc>
          <w:tcPr>
            <w:tcW w:w="155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1584" w:type="dxa"/>
            <w:tcBorders>
              <w:top w:val="single" w:color="auto" w:sz="4" w:space="0"/>
              <w:bottom w:val="single" w:color="auto" w:sz="4" w:space="0"/>
              <w:right w:val="single" w:color="auto" w:sz="4" w:space="0"/>
            </w:tcBorders>
            <w:vAlign w:val="center"/>
          </w:tcPr>
          <w:p>
            <w:pPr>
              <w:spacing w:line="400" w:lineRule="exact"/>
              <w:jc w:val="center"/>
              <w:rPr>
                <w:rFonts w:ascii="宋体" w:hAnsi="宋体"/>
                <w:b/>
                <w:sz w:val="24"/>
              </w:rPr>
            </w:pPr>
          </w:p>
        </w:tc>
        <w:tc>
          <w:tcPr>
            <w:tcW w:w="5904" w:type="dxa"/>
            <w:tcBorders>
              <w:top w:val="single" w:color="auto" w:sz="4" w:space="0"/>
              <w:left w:val="single" w:color="auto" w:sz="4" w:space="0"/>
              <w:bottom w:val="single" w:color="auto" w:sz="4" w:space="0"/>
              <w:right w:val="single" w:color="auto" w:sz="4" w:space="0"/>
            </w:tcBorders>
            <w:vAlign w:val="center"/>
          </w:tcPr>
          <w:p>
            <w:pPr>
              <w:tabs>
                <w:tab w:val="left" w:pos="1328"/>
              </w:tabs>
              <w:spacing w:line="400" w:lineRule="exact"/>
              <w:jc w:val="center"/>
              <w:rPr>
                <w:rFonts w:ascii="宋体" w:hAnsi="宋体"/>
                <w:b/>
                <w:sz w:val="24"/>
              </w:rPr>
            </w:pPr>
          </w:p>
        </w:tc>
      </w:tr>
    </w:tbl>
    <w:p>
      <w:pPr>
        <w:rPr>
          <w:rFonts w:ascii="宋体" w:hAnsi="宋体" w:eastAsia="黑体"/>
          <w:sz w:val="30"/>
          <w:szCs w:val="30"/>
        </w:rPr>
      </w:pPr>
    </w:p>
    <w:p>
      <w:pPr>
        <w:widowControl/>
        <w:jc w:val="left"/>
        <w:rPr>
          <w:rFonts w:ascii="宋体" w:hAnsi="宋体" w:eastAsia="黑体"/>
          <w:sz w:val="30"/>
          <w:szCs w:val="30"/>
        </w:rPr>
      </w:pPr>
    </w:p>
    <w:p>
      <w:pPr>
        <w:widowControl/>
        <w:jc w:val="left"/>
        <w:rPr>
          <w:rFonts w:ascii="宋体" w:hAnsi="宋体"/>
        </w:rPr>
      </w:pPr>
      <w:r>
        <w:rPr>
          <w:rFonts w:hint="eastAsia" w:ascii="宋体" w:hAnsi="宋体" w:eastAsia="黑体"/>
          <w:sz w:val="30"/>
          <w:szCs w:val="30"/>
        </w:rPr>
        <w:t>七、主要科学技术成就和贡献</w:t>
      </w:r>
    </w:p>
    <w:tbl>
      <w:tblPr>
        <w:tblStyle w:val="10"/>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924" w:hRule="atLeast"/>
          <w:jc w:val="center"/>
        </w:trPr>
        <w:tc>
          <w:tcPr>
            <w:tcW w:w="9038" w:type="dxa"/>
            <w:tcBorders>
              <w:top w:val="single" w:color="auto" w:sz="4" w:space="0"/>
              <w:left w:val="single" w:color="auto" w:sz="4" w:space="0"/>
              <w:bottom w:val="single" w:color="auto" w:sz="4" w:space="0"/>
              <w:right w:val="single" w:color="auto" w:sz="4" w:space="0"/>
            </w:tcBorders>
          </w:tcPr>
          <w:p>
            <w:pPr>
              <w:pStyle w:val="2"/>
              <w:spacing w:line="390" w:lineRule="exact"/>
              <w:ind w:firstLine="428"/>
              <w:rPr>
                <w:rFonts w:hAnsi="宋体"/>
                <w:spacing w:val="2"/>
              </w:rPr>
            </w:pPr>
            <w:r>
              <w:rPr>
                <w:rFonts w:hint="eastAsia" w:hAnsi="宋体"/>
                <w:spacing w:val="2"/>
              </w:rPr>
              <w:t>本栏目是评价被推荐人的重要依据。应详实、准确、客观地填写被推荐人从开始工作起至今为止，在学科发展、推动行业技术进步等方面作出的贡献。限2000字以内。</w:t>
            </w:r>
          </w:p>
          <w:p>
            <w:pPr>
              <w:pStyle w:val="2"/>
              <w:spacing w:line="360" w:lineRule="auto"/>
              <w:ind w:firstLine="425"/>
              <w:rPr>
                <w:rFonts w:ascii="楷体" w:hAnsi="楷体" w:eastAsia="楷体"/>
                <w:spacing w:val="2"/>
                <w:sz w:val="24"/>
                <w:szCs w:val="24"/>
              </w:rPr>
            </w:pPr>
            <w:r>
              <w:rPr>
                <w:rFonts w:ascii="楷体" w:hAnsi="楷体" w:eastAsia="楷体"/>
                <w:b/>
                <w:spacing w:val="2"/>
                <w:sz w:val="24"/>
                <w:szCs w:val="24"/>
              </w:rPr>
              <w:t>1</w:t>
            </w:r>
            <w:r>
              <w:rPr>
                <w:rFonts w:hint="eastAsia" w:ascii="楷体" w:hAnsi="楷体" w:eastAsia="楷体"/>
                <w:b/>
                <w:spacing w:val="2"/>
                <w:sz w:val="24"/>
                <w:szCs w:val="24"/>
              </w:rPr>
              <w:t>、主要学术成就</w:t>
            </w:r>
          </w:p>
          <w:p>
            <w:pPr>
              <w:pStyle w:val="2"/>
              <w:spacing w:line="360" w:lineRule="auto"/>
              <w:ind w:firstLine="425"/>
              <w:rPr>
                <w:rFonts w:ascii="楷体" w:hAnsi="楷体" w:eastAsia="楷体"/>
                <w:spacing w:val="2"/>
                <w:sz w:val="24"/>
                <w:szCs w:val="24"/>
              </w:rPr>
            </w:pPr>
            <w:bookmarkStart w:id="0" w:name="OLE_LINK7"/>
            <w:bookmarkStart w:id="1" w:name="OLE_LINK8"/>
            <w:r>
              <w:rPr>
                <w:rFonts w:hint="eastAsia" w:ascii="楷体" w:hAnsi="楷体" w:eastAsia="楷体"/>
                <w:spacing w:val="2"/>
                <w:sz w:val="24"/>
                <w:szCs w:val="24"/>
              </w:rPr>
              <w:t>申请人</w:t>
            </w:r>
            <w:bookmarkEnd w:id="0"/>
            <w:bookmarkEnd w:id="1"/>
            <w:r>
              <w:rPr>
                <w:rFonts w:hint="eastAsia" w:ascii="楷体" w:hAnsi="楷体" w:eastAsia="楷体"/>
                <w:spacing w:val="2"/>
                <w:sz w:val="24"/>
                <w:szCs w:val="24"/>
              </w:rPr>
              <w:t>从2001年开始工作，主要从事晶态材料的合成和结构化学基础研究。到目前已主持多项国家自然科学基金，在国内外主流化学期刊上发表</w:t>
            </w:r>
            <w:r>
              <w:rPr>
                <w:rFonts w:ascii="楷体" w:hAnsi="楷体" w:eastAsia="楷体"/>
                <w:spacing w:val="2"/>
                <w:sz w:val="24"/>
                <w:szCs w:val="24"/>
              </w:rPr>
              <w:t>SCI</w:t>
            </w:r>
            <w:r>
              <w:rPr>
                <w:rFonts w:hint="eastAsia" w:ascii="楷体" w:hAnsi="楷体" w:eastAsia="楷体"/>
                <w:spacing w:val="2"/>
                <w:sz w:val="24"/>
                <w:szCs w:val="24"/>
              </w:rPr>
              <w:t>论文</w:t>
            </w:r>
            <w:r>
              <w:rPr>
                <w:rFonts w:ascii="楷体" w:hAnsi="楷体" w:eastAsia="楷体"/>
                <w:spacing w:val="2"/>
                <w:sz w:val="24"/>
                <w:szCs w:val="24"/>
              </w:rPr>
              <w:t>1</w:t>
            </w:r>
            <w:r>
              <w:rPr>
                <w:rFonts w:hint="eastAsia" w:ascii="楷体" w:hAnsi="楷体" w:eastAsia="楷体"/>
                <w:spacing w:val="2"/>
                <w:sz w:val="24"/>
                <w:szCs w:val="24"/>
              </w:rPr>
              <w:t>70余篇，被引75</w:t>
            </w:r>
            <w:r>
              <w:rPr>
                <w:rFonts w:ascii="楷体" w:hAnsi="楷体" w:eastAsia="楷体"/>
                <w:spacing w:val="2"/>
                <w:sz w:val="24"/>
                <w:szCs w:val="24"/>
              </w:rPr>
              <w:t>00</w:t>
            </w:r>
            <w:r>
              <w:rPr>
                <w:rFonts w:hint="eastAsia" w:ascii="楷体" w:hAnsi="楷体" w:eastAsia="楷体"/>
                <w:spacing w:val="2"/>
                <w:sz w:val="24"/>
                <w:szCs w:val="24"/>
              </w:rPr>
              <w:t>余次，</w:t>
            </w:r>
            <w:r>
              <w:rPr>
                <w:rFonts w:ascii="楷体" w:hAnsi="楷体" w:eastAsia="楷体"/>
                <w:spacing w:val="2"/>
                <w:sz w:val="24"/>
                <w:szCs w:val="24"/>
              </w:rPr>
              <w:t>H</w:t>
            </w:r>
            <w:r>
              <w:rPr>
                <w:rFonts w:hint="eastAsia" w:ascii="楷体" w:hAnsi="楷体" w:eastAsia="楷体"/>
                <w:spacing w:val="2"/>
                <w:sz w:val="24"/>
                <w:szCs w:val="24"/>
              </w:rPr>
              <w:t>指数为49。其中，申请人以第一作者或通讯作者在IF&gt;10的知名化学期刊上发表论文</w:t>
            </w:r>
            <w:r>
              <w:rPr>
                <w:rFonts w:ascii="楷体" w:hAnsi="楷体" w:eastAsia="楷体"/>
                <w:spacing w:val="2"/>
                <w:sz w:val="24"/>
                <w:szCs w:val="24"/>
              </w:rPr>
              <w:t>1</w:t>
            </w:r>
            <w:r>
              <w:rPr>
                <w:rFonts w:hint="eastAsia" w:ascii="楷体" w:hAnsi="楷体" w:eastAsia="楷体"/>
                <w:spacing w:val="2"/>
                <w:sz w:val="24"/>
                <w:szCs w:val="24"/>
              </w:rPr>
              <w:t>5篇，分别是</w:t>
            </w:r>
            <w:r>
              <w:rPr>
                <w:rFonts w:hint="eastAsia" w:ascii="楷体" w:hAnsi="楷体" w:eastAsia="楷体"/>
                <w:bCs/>
                <w:spacing w:val="2"/>
                <w:sz w:val="24"/>
                <w:szCs w:val="24"/>
              </w:rPr>
              <w:t>8</w:t>
            </w:r>
            <w:r>
              <w:rPr>
                <w:rFonts w:hint="eastAsia" w:ascii="楷体" w:hAnsi="楷体" w:eastAsia="楷体"/>
                <w:spacing w:val="2"/>
                <w:sz w:val="24"/>
                <w:szCs w:val="24"/>
              </w:rPr>
              <w:t>篇</w:t>
            </w:r>
            <w:r>
              <w:rPr>
                <w:rFonts w:ascii="楷体" w:hAnsi="楷体" w:eastAsia="楷体"/>
                <w:bCs/>
                <w:spacing w:val="2"/>
                <w:sz w:val="24"/>
                <w:szCs w:val="24"/>
              </w:rPr>
              <w:t>Angew</w:t>
            </w:r>
            <w:r>
              <w:rPr>
                <w:rFonts w:hint="eastAsia" w:ascii="楷体" w:hAnsi="楷体" w:eastAsia="楷体"/>
                <w:bCs/>
                <w:spacing w:val="2"/>
                <w:sz w:val="24"/>
                <w:szCs w:val="24"/>
              </w:rPr>
              <w:t xml:space="preserve"> </w:t>
            </w:r>
            <w:r>
              <w:rPr>
                <w:rFonts w:ascii="楷体" w:hAnsi="楷体" w:eastAsia="楷体"/>
                <w:bCs/>
                <w:spacing w:val="2"/>
                <w:sz w:val="24"/>
                <w:szCs w:val="24"/>
              </w:rPr>
              <w:t>Chem</w:t>
            </w:r>
            <w:r>
              <w:rPr>
                <w:rFonts w:hint="eastAsia" w:ascii="楷体" w:hAnsi="楷体" w:eastAsia="楷体"/>
                <w:bCs/>
                <w:spacing w:val="2"/>
                <w:sz w:val="24"/>
                <w:szCs w:val="24"/>
              </w:rPr>
              <w:t xml:space="preserve"> </w:t>
            </w:r>
            <w:r>
              <w:rPr>
                <w:rFonts w:ascii="楷体" w:hAnsi="楷体" w:eastAsia="楷体"/>
                <w:bCs/>
                <w:spacing w:val="2"/>
                <w:sz w:val="24"/>
                <w:szCs w:val="24"/>
              </w:rPr>
              <w:t>Int</w:t>
            </w:r>
            <w:r>
              <w:rPr>
                <w:rFonts w:hint="eastAsia" w:ascii="楷体" w:hAnsi="楷体" w:eastAsia="楷体"/>
                <w:bCs/>
                <w:spacing w:val="2"/>
                <w:sz w:val="24"/>
                <w:szCs w:val="24"/>
              </w:rPr>
              <w:t xml:space="preserve"> </w:t>
            </w:r>
            <w:r>
              <w:rPr>
                <w:rFonts w:ascii="楷体" w:hAnsi="楷体" w:eastAsia="楷体"/>
                <w:bCs/>
                <w:spacing w:val="2"/>
                <w:sz w:val="24"/>
                <w:szCs w:val="24"/>
              </w:rPr>
              <w:t>Ed</w:t>
            </w:r>
            <w:r>
              <w:rPr>
                <w:rFonts w:hint="eastAsia" w:ascii="楷体" w:hAnsi="楷体" w:eastAsia="楷体"/>
                <w:bCs/>
                <w:spacing w:val="2"/>
                <w:sz w:val="24"/>
                <w:szCs w:val="24"/>
              </w:rPr>
              <w:t>，</w:t>
            </w:r>
            <w:r>
              <w:rPr>
                <w:rFonts w:hint="eastAsia" w:ascii="楷体" w:hAnsi="楷体" w:eastAsia="楷体"/>
                <w:spacing w:val="2"/>
                <w:sz w:val="24"/>
                <w:szCs w:val="24"/>
              </w:rPr>
              <w:t>6篇</w:t>
            </w:r>
            <w:r>
              <w:rPr>
                <w:rFonts w:ascii="楷体" w:hAnsi="楷体" w:eastAsia="楷体"/>
                <w:bCs/>
                <w:spacing w:val="2"/>
                <w:sz w:val="24"/>
                <w:szCs w:val="24"/>
              </w:rPr>
              <w:t>J</w:t>
            </w:r>
            <w:r>
              <w:rPr>
                <w:rFonts w:hint="eastAsia" w:ascii="楷体" w:hAnsi="楷体" w:eastAsia="楷体"/>
                <w:bCs/>
                <w:spacing w:val="2"/>
                <w:sz w:val="24"/>
                <w:szCs w:val="24"/>
              </w:rPr>
              <w:t xml:space="preserve"> </w:t>
            </w:r>
            <w:r>
              <w:rPr>
                <w:rFonts w:ascii="楷体" w:hAnsi="楷体" w:eastAsia="楷体"/>
                <w:bCs/>
                <w:spacing w:val="2"/>
                <w:sz w:val="24"/>
                <w:szCs w:val="24"/>
              </w:rPr>
              <w:t>A</w:t>
            </w:r>
            <w:r>
              <w:rPr>
                <w:rFonts w:hint="eastAsia" w:ascii="楷体" w:hAnsi="楷体" w:eastAsia="楷体"/>
                <w:bCs/>
                <w:spacing w:val="2"/>
                <w:sz w:val="24"/>
                <w:szCs w:val="24"/>
              </w:rPr>
              <w:t xml:space="preserve">m </w:t>
            </w:r>
            <w:r>
              <w:rPr>
                <w:rFonts w:ascii="楷体" w:hAnsi="楷体" w:eastAsia="楷体"/>
                <w:bCs/>
                <w:spacing w:val="2"/>
                <w:sz w:val="24"/>
                <w:szCs w:val="24"/>
              </w:rPr>
              <w:t>Chem</w:t>
            </w:r>
            <w:r>
              <w:rPr>
                <w:rFonts w:hint="eastAsia" w:ascii="楷体" w:hAnsi="楷体" w:eastAsia="楷体"/>
                <w:bCs/>
                <w:spacing w:val="2"/>
                <w:sz w:val="24"/>
                <w:szCs w:val="24"/>
              </w:rPr>
              <w:t xml:space="preserve"> </w:t>
            </w:r>
            <w:r>
              <w:rPr>
                <w:rFonts w:ascii="楷体" w:hAnsi="楷体" w:eastAsia="楷体"/>
                <w:bCs/>
                <w:spacing w:val="2"/>
                <w:sz w:val="24"/>
                <w:szCs w:val="24"/>
              </w:rPr>
              <w:t>Soc</w:t>
            </w:r>
            <w:r>
              <w:rPr>
                <w:rFonts w:hint="eastAsia" w:ascii="楷体" w:hAnsi="楷体" w:eastAsia="楷体"/>
                <w:spacing w:val="2"/>
                <w:sz w:val="24"/>
                <w:szCs w:val="24"/>
              </w:rPr>
              <w:t>和</w:t>
            </w:r>
            <w:r>
              <w:rPr>
                <w:rFonts w:ascii="楷体" w:hAnsi="楷体" w:eastAsia="楷体"/>
                <w:spacing w:val="2"/>
                <w:sz w:val="24"/>
                <w:szCs w:val="24"/>
              </w:rPr>
              <w:t>1</w:t>
            </w:r>
            <w:r>
              <w:rPr>
                <w:rFonts w:hint="eastAsia" w:ascii="楷体" w:hAnsi="楷体" w:eastAsia="楷体"/>
                <w:spacing w:val="2"/>
                <w:sz w:val="24"/>
                <w:szCs w:val="24"/>
              </w:rPr>
              <w:t>篇</w:t>
            </w:r>
            <w:r>
              <w:rPr>
                <w:rFonts w:ascii="楷体" w:hAnsi="楷体" w:eastAsia="楷体"/>
                <w:bCs/>
                <w:spacing w:val="2"/>
                <w:sz w:val="24"/>
                <w:szCs w:val="24"/>
              </w:rPr>
              <w:t>Chem</w:t>
            </w:r>
            <w:r>
              <w:rPr>
                <w:rFonts w:hint="eastAsia" w:ascii="楷体" w:hAnsi="楷体" w:eastAsia="楷体"/>
                <w:bCs/>
                <w:spacing w:val="2"/>
                <w:sz w:val="24"/>
                <w:szCs w:val="24"/>
              </w:rPr>
              <w:t xml:space="preserve"> </w:t>
            </w:r>
            <w:r>
              <w:rPr>
                <w:rFonts w:ascii="楷体" w:hAnsi="楷体" w:eastAsia="楷体"/>
                <w:bCs/>
                <w:spacing w:val="2"/>
                <w:sz w:val="24"/>
                <w:szCs w:val="24"/>
              </w:rPr>
              <w:t>Soc</w:t>
            </w:r>
            <w:r>
              <w:rPr>
                <w:rFonts w:hint="eastAsia" w:ascii="楷体" w:hAnsi="楷体" w:eastAsia="楷体"/>
                <w:bCs/>
                <w:spacing w:val="2"/>
                <w:sz w:val="24"/>
                <w:szCs w:val="24"/>
              </w:rPr>
              <w:t xml:space="preserve"> </w:t>
            </w:r>
            <w:r>
              <w:rPr>
                <w:rFonts w:ascii="楷体" w:hAnsi="楷体" w:eastAsia="楷体"/>
                <w:bCs/>
                <w:spacing w:val="2"/>
                <w:sz w:val="24"/>
                <w:szCs w:val="24"/>
              </w:rPr>
              <w:t>Rev</w:t>
            </w:r>
            <w:r>
              <w:rPr>
                <w:rFonts w:hint="eastAsia" w:ascii="楷体" w:hAnsi="楷体" w:eastAsia="楷体"/>
                <w:bCs/>
                <w:spacing w:val="2"/>
                <w:sz w:val="24"/>
                <w:szCs w:val="24"/>
              </w:rPr>
              <w:t>。</w:t>
            </w:r>
            <w:r>
              <w:rPr>
                <w:rFonts w:hint="eastAsia" w:ascii="楷体" w:hAnsi="楷体" w:eastAsia="楷体"/>
                <w:spacing w:val="2"/>
                <w:sz w:val="24"/>
                <w:szCs w:val="24"/>
              </w:rPr>
              <w:t>其中，多篇论文入选期刊的封面，内封面，热点，</w:t>
            </w:r>
            <w:r>
              <w:rPr>
                <w:rFonts w:ascii="楷体" w:hAnsi="楷体" w:eastAsia="楷体"/>
                <w:spacing w:val="2"/>
                <w:sz w:val="24"/>
                <w:szCs w:val="24"/>
              </w:rPr>
              <w:t>VIP</w:t>
            </w:r>
            <w:r>
              <w:rPr>
                <w:rFonts w:hint="eastAsia" w:ascii="楷体" w:hAnsi="楷体" w:eastAsia="楷体"/>
                <w:spacing w:val="2"/>
                <w:sz w:val="24"/>
                <w:szCs w:val="24"/>
              </w:rPr>
              <w:t>、或期刊的年度最高被引用论文之一等。此外，申请人参与了由</w:t>
            </w:r>
            <w:bookmarkStart w:id="2" w:name="OLE_LINK13"/>
            <w:bookmarkStart w:id="3" w:name="OLE_LINK14"/>
            <w:r>
              <w:rPr>
                <w:rFonts w:hint="eastAsia" w:ascii="楷体" w:hAnsi="楷体" w:eastAsia="楷体"/>
                <w:spacing w:val="2"/>
                <w:sz w:val="24"/>
                <w:szCs w:val="24"/>
              </w:rPr>
              <w:t>中国科学出版社出版的三部专著的撰写，分别是《</w:t>
            </w:r>
            <w:r>
              <w:rPr>
                <w:rFonts w:ascii="楷体" w:hAnsi="楷体" w:eastAsia="楷体"/>
                <w:spacing w:val="2"/>
                <w:sz w:val="24"/>
                <w:szCs w:val="24"/>
              </w:rPr>
              <w:t>Structural</w:t>
            </w:r>
            <w:r>
              <w:rPr>
                <w:rFonts w:hint="eastAsia" w:ascii="楷体" w:hAnsi="楷体" w:eastAsia="楷体"/>
                <w:spacing w:val="2"/>
                <w:sz w:val="24"/>
                <w:szCs w:val="24"/>
              </w:rPr>
              <w:t xml:space="preserve"> </w:t>
            </w:r>
            <w:r>
              <w:rPr>
                <w:rFonts w:ascii="楷体" w:hAnsi="楷体" w:eastAsia="楷体"/>
                <w:spacing w:val="2"/>
                <w:sz w:val="24"/>
                <w:szCs w:val="24"/>
              </w:rPr>
              <w:t>Inorganic Chemistry</w:t>
            </w:r>
            <w:r>
              <w:rPr>
                <w:rFonts w:hint="eastAsia" w:ascii="楷体" w:hAnsi="楷体" w:eastAsia="楷体"/>
                <w:spacing w:val="2"/>
                <w:sz w:val="24"/>
                <w:szCs w:val="24"/>
              </w:rPr>
              <w:t>》中的第八章</w:t>
            </w:r>
            <w:r>
              <w:rPr>
                <w:rFonts w:ascii="楷体" w:hAnsi="楷体" w:eastAsia="楷体"/>
                <w:spacing w:val="2"/>
                <w:sz w:val="24"/>
                <w:szCs w:val="24"/>
              </w:rPr>
              <w:t>(</w:t>
            </w:r>
            <w:r>
              <w:rPr>
                <w:rFonts w:hint="eastAsia" w:ascii="楷体" w:hAnsi="楷体" w:eastAsia="楷体"/>
                <w:spacing w:val="2"/>
                <w:sz w:val="24"/>
                <w:szCs w:val="24"/>
              </w:rPr>
              <w:t>第一作者</w:t>
            </w:r>
            <w:r>
              <w:rPr>
                <w:rFonts w:ascii="楷体" w:hAnsi="楷体" w:eastAsia="楷体"/>
                <w:spacing w:val="2"/>
                <w:sz w:val="24"/>
                <w:szCs w:val="24"/>
              </w:rPr>
              <w:t>)</w:t>
            </w:r>
            <w:r>
              <w:rPr>
                <w:rFonts w:hint="eastAsia" w:ascii="楷体" w:hAnsi="楷体" w:eastAsia="楷体"/>
                <w:spacing w:val="2"/>
                <w:sz w:val="24"/>
                <w:szCs w:val="24"/>
              </w:rPr>
              <w:t>、《氧基簇合物化学》中的第一、第十章</w:t>
            </w:r>
            <w:r>
              <w:rPr>
                <w:rFonts w:ascii="楷体" w:hAnsi="楷体" w:eastAsia="楷体"/>
                <w:spacing w:val="2"/>
                <w:sz w:val="24"/>
                <w:szCs w:val="24"/>
              </w:rPr>
              <w:t>(</w:t>
            </w:r>
            <w:r>
              <w:rPr>
                <w:rFonts w:hint="eastAsia" w:ascii="楷体" w:hAnsi="楷体" w:eastAsia="楷体"/>
                <w:spacing w:val="2"/>
                <w:sz w:val="24"/>
                <w:szCs w:val="24"/>
              </w:rPr>
              <w:t>第一作者</w:t>
            </w:r>
            <w:r>
              <w:rPr>
                <w:rFonts w:ascii="楷体" w:hAnsi="楷体" w:eastAsia="楷体"/>
                <w:spacing w:val="2"/>
                <w:sz w:val="24"/>
                <w:szCs w:val="24"/>
              </w:rPr>
              <w:t>)</w:t>
            </w:r>
            <w:bookmarkEnd w:id="2"/>
            <w:bookmarkEnd w:id="3"/>
            <w:r>
              <w:rPr>
                <w:rFonts w:hint="eastAsia" w:ascii="楷体" w:hAnsi="楷体" w:eastAsia="楷体"/>
                <w:spacing w:val="2"/>
                <w:sz w:val="24"/>
                <w:szCs w:val="24"/>
              </w:rPr>
              <w:t>、和国家自然科学基金委员会化学科学部组编的《</w:t>
            </w:r>
            <w:r>
              <w:rPr>
                <w:rFonts w:ascii="楷体" w:hAnsi="楷体" w:eastAsia="楷体"/>
                <w:spacing w:val="2"/>
                <w:sz w:val="24"/>
                <w:szCs w:val="24"/>
              </w:rPr>
              <w:t xml:space="preserve">21 </w:t>
            </w:r>
            <w:r>
              <w:rPr>
                <w:rFonts w:hint="eastAsia" w:ascii="楷体" w:hAnsi="楷体" w:eastAsia="楷体"/>
                <w:spacing w:val="2"/>
                <w:sz w:val="24"/>
                <w:szCs w:val="24"/>
              </w:rPr>
              <w:t>世纪的无机化学》中的第十二章</w:t>
            </w:r>
            <w:r>
              <w:rPr>
                <w:rFonts w:ascii="楷体" w:hAnsi="楷体" w:eastAsia="楷体"/>
                <w:spacing w:val="2"/>
                <w:sz w:val="24"/>
                <w:szCs w:val="24"/>
              </w:rPr>
              <w:t>(</w:t>
            </w:r>
            <w:r>
              <w:rPr>
                <w:rFonts w:hint="eastAsia" w:ascii="楷体" w:hAnsi="楷体" w:eastAsia="楷体"/>
                <w:spacing w:val="2"/>
                <w:sz w:val="24"/>
                <w:szCs w:val="24"/>
              </w:rPr>
              <w:t>第二作者</w:t>
            </w:r>
            <w:r>
              <w:rPr>
                <w:rFonts w:ascii="楷体" w:hAnsi="楷体" w:eastAsia="楷体"/>
                <w:spacing w:val="2"/>
                <w:sz w:val="24"/>
                <w:szCs w:val="24"/>
              </w:rPr>
              <w:t>)</w:t>
            </w:r>
            <w:r>
              <w:rPr>
                <w:rFonts w:hint="eastAsia" w:ascii="楷体" w:hAnsi="楷体" w:eastAsia="楷体"/>
                <w:spacing w:val="2"/>
                <w:sz w:val="24"/>
                <w:szCs w:val="24"/>
              </w:rPr>
              <w:t>。</w:t>
            </w:r>
          </w:p>
          <w:p>
            <w:pPr>
              <w:pStyle w:val="2"/>
              <w:spacing w:line="360" w:lineRule="auto"/>
              <w:ind w:firstLine="425"/>
              <w:rPr>
                <w:rFonts w:ascii="楷体" w:hAnsi="楷体" w:eastAsia="楷体"/>
                <w:spacing w:val="2"/>
                <w:sz w:val="24"/>
                <w:szCs w:val="24"/>
              </w:rPr>
            </w:pPr>
            <w:r>
              <w:rPr>
                <w:rFonts w:hint="eastAsia" w:ascii="楷体" w:hAnsi="楷体" w:eastAsia="楷体"/>
                <w:spacing w:val="2"/>
                <w:sz w:val="24"/>
                <w:szCs w:val="24"/>
              </w:rPr>
              <w:t>申请人曾获2016年国家自然科学二等奖</w:t>
            </w:r>
            <w:r>
              <w:rPr>
                <w:rFonts w:ascii="楷体" w:hAnsi="楷体" w:eastAsia="楷体"/>
                <w:spacing w:val="2"/>
                <w:sz w:val="24"/>
                <w:szCs w:val="24"/>
              </w:rPr>
              <w:t>(</w:t>
            </w:r>
            <w:r>
              <w:rPr>
                <w:rFonts w:hint="eastAsia" w:ascii="楷体" w:hAnsi="楷体" w:eastAsia="楷体"/>
                <w:spacing w:val="2"/>
                <w:sz w:val="24"/>
                <w:szCs w:val="24"/>
              </w:rPr>
              <w:t>获奖名称“氧基簇合物的设计合成与组织策略”，排名第二</w:t>
            </w:r>
            <w:r>
              <w:rPr>
                <w:rFonts w:ascii="楷体" w:hAnsi="楷体" w:eastAsia="楷体"/>
                <w:spacing w:val="2"/>
                <w:sz w:val="24"/>
                <w:szCs w:val="24"/>
              </w:rPr>
              <w:t>)</w:t>
            </w:r>
            <w:r>
              <w:rPr>
                <w:rFonts w:hint="eastAsia" w:ascii="楷体" w:hAnsi="楷体" w:eastAsia="楷体"/>
                <w:spacing w:val="2"/>
                <w:sz w:val="24"/>
                <w:szCs w:val="24"/>
              </w:rPr>
              <w:t>、2016年福建省“运盛青年科技奖”、</w:t>
            </w:r>
            <w:r>
              <w:rPr>
                <w:rFonts w:ascii="楷体" w:hAnsi="楷体" w:eastAsia="楷体"/>
                <w:spacing w:val="2"/>
                <w:sz w:val="24"/>
                <w:szCs w:val="24"/>
              </w:rPr>
              <w:t xml:space="preserve">2011 </w:t>
            </w:r>
            <w:r>
              <w:rPr>
                <w:rFonts w:hint="eastAsia" w:ascii="楷体" w:hAnsi="楷体" w:eastAsia="楷体"/>
                <w:spacing w:val="2"/>
                <w:sz w:val="24"/>
                <w:szCs w:val="24"/>
              </w:rPr>
              <w:t>年福建省科学技术奖自然科学一等奖</w:t>
            </w:r>
            <w:r>
              <w:rPr>
                <w:rFonts w:ascii="楷体" w:hAnsi="楷体" w:eastAsia="楷体"/>
                <w:spacing w:val="2"/>
                <w:sz w:val="24"/>
                <w:szCs w:val="24"/>
              </w:rPr>
              <w:t>(</w:t>
            </w:r>
            <w:r>
              <w:rPr>
                <w:rFonts w:hint="eastAsia" w:ascii="楷体" w:hAnsi="楷体" w:eastAsia="楷体"/>
                <w:spacing w:val="2"/>
                <w:sz w:val="24"/>
                <w:szCs w:val="24"/>
              </w:rPr>
              <w:t>获奖名称“</w:t>
            </w:r>
            <w:bookmarkStart w:id="4" w:name="OLE_LINK23"/>
            <w:r>
              <w:rPr>
                <w:rFonts w:hint="eastAsia" w:ascii="楷体" w:hAnsi="楷体" w:eastAsia="楷体"/>
                <w:spacing w:val="2"/>
                <w:sz w:val="24"/>
                <w:szCs w:val="24"/>
              </w:rPr>
              <w:t>氧基簇合物的设计合成及性能</w:t>
            </w:r>
            <w:bookmarkEnd w:id="4"/>
            <w:r>
              <w:rPr>
                <w:rFonts w:hint="eastAsia" w:ascii="楷体" w:hAnsi="楷体" w:eastAsia="楷体"/>
                <w:spacing w:val="2"/>
                <w:sz w:val="24"/>
                <w:szCs w:val="24"/>
              </w:rPr>
              <w:t>”，排名第三</w:t>
            </w:r>
            <w:r>
              <w:rPr>
                <w:rFonts w:ascii="楷体" w:hAnsi="楷体" w:eastAsia="楷体"/>
                <w:spacing w:val="2"/>
                <w:sz w:val="24"/>
                <w:szCs w:val="24"/>
              </w:rPr>
              <w:t>)</w:t>
            </w:r>
            <w:r>
              <w:rPr>
                <w:rFonts w:hint="eastAsia" w:ascii="楷体" w:hAnsi="楷体" w:eastAsia="楷体"/>
                <w:spacing w:val="2"/>
                <w:sz w:val="24"/>
                <w:szCs w:val="24"/>
              </w:rPr>
              <w:t>、</w:t>
            </w:r>
            <w:r>
              <w:rPr>
                <w:rFonts w:ascii="楷体" w:hAnsi="楷体" w:eastAsia="楷体"/>
                <w:spacing w:val="2"/>
                <w:sz w:val="24"/>
                <w:szCs w:val="24"/>
              </w:rPr>
              <w:t xml:space="preserve">2011 </w:t>
            </w:r>
            <w:r>
              <w:rPr>
                <w:rFonts w:hint="eastAsia" w:ascii="楷体" w:hAnsi="楷体" w:eastAsia="楷体"/>
                <w:spacing w:val="2"/>
                <w:sz w:val="24"/>
                <w:szCs w:val="24"/>
              </w:rPr>
              <w:t>年“全国优秀博士学位论文提名奖”、</w:t>
            </w:r>
            <w:r>
              <w:rPr>
                <w:rFonts w:ascii="楷体" w:hAnsi="楷体" w:eastAsia="楷体"/>
                <w:spacing w:val="2"/>
                <w:sz w:val="24"/>
                <w:szCs w:val="24"/>
              </w:rPr>
              <w:t xml:space="preserve">2010 </w:t>
            </w:r>
            <w:r>
              <w:rPr>
                <w:rFonts w:hint="eastAsia" w:ascii="楷体" w:hAnsi="楷体" w:eastAsia="楷体"/>
                <w:spacing w:val="2"/>
                <w:sz w:val="24"/>
                <w:szCs w:val="24"/>
              </w:rPr>
              <w:t>年“中科院优秀博士学位论文”(中科院2010年度各个学科总和共只评</w:t>
            </w:r>
            <w:r>
              <w:rPr>
                <w:rFonts w:ascii="楷体" w:hAnsi="楷体" w:eastAsia="楷体"/>
                <w:spacing w:val="2"/>
                <w:sz w:val="24"/>
                <w:szCs w:val="24"/>
              </w:rPr>
              <w:t>50</w:t>
            </w:r>
            <w:r>
              <w:rPr>
                <w:rFonts w:hint="eastAsia" w:ascii="楷体" w:hAnsi="楷体" w:eastAsia="楷体"/>
                <w:spacing w:val="2"/>
                <w:sz w:val="24"/>
                <w:szCs w:val="24"/>
              </w:rPr>
              <w:t>篇)等奖项。并入选2012年福建省“闽江学者”、2015年福建省“百人计划”及国家第五批“青年千人”计划。</w:t>
            </w:r>
          </w:p>
          <w:p>
            <w:pPr>
              <w:pStyle w:val="2"/>
              <w:spacing w:line="360" w:lineRule="auto"/>
              <w:ind w:firstLine="425"/>
              <w:rPr>
                <w:rFonts w:ascii="楷体" w:hAnsi="楷体" w:eastAsia="楷体"/>
                <w:spacing w:val="2"/>
                <w:sz w:val="24"/>
                <w:szCs w:val="24"/>
              </w:rPr>
            </w:pPr>
            <w:r>
              <w:rPr>
                <w:rFonts w:hint="eastAsia" w:ascii="楷体" w:hAnsi="楷体" w:eastAsia="楷体"/>
                <w:b/>
                <w:spacing w:val="2"/>
                <w:sz w:val="24"/>
                <w:szCs w:val="24"/>
              </w:rPr>
              <w:t>2、主要学术成果和贡献</w:t>
            </w:r>
          </w:p>
          <w:p>
            <w:pPr>
              <w:pStyle w:val="2"/>
              <w:spacing w:line="360" w:lineRule="auto"/>
              <w:ind w:firstLine="425"/>
              <w:rPr>
                <w:rFonts w:ascii="楷体" w:hAnsi="楷体" w:eastAsia="楷体"/>
                <w:bCs/>
                <w:spacing w:val="2"/>
                <w:sz w:val="24"/>
                <w:szCs w:val="24"/>
              </w:rPr>
            </w:pPr>
            <w:r>
              <w:rPr>
                <w:rFonts w:hint="eastAsia" w:ascii="楷体" w:hAnsi="楷体" w:eastAsia="楷体"/>
                <w:spacing w:val="2"/>
                <w:sz w:val="24"/>
                <w:szCs w:val="24"/>
              </w:rPr>
              <w:t>申请人主要从事多金属氧酸（简称多酸）和金属有机框架材料的合成与结构研究，主要取得的创新性成果如下：</w:t>
            </w:r>
          </w:p>
          <w:p>
            <w:pPr>
              <w:pStyle w:val="2"/>
              <w:spacing w:line="360" w:lineRule="auto"/>
              <w:ind w:firstLine="425"/>
              <w:rPr>
                <w:rFonts w:ascii="楷体" w:hAnsi="楷体" w:eastAsia="楷体"/>
                <w:b/>
                <w:spacing w:val="2"/>
                <w:sz w:val="24"/>
                <w:szCs w:val="24"/>
              </w:rPr>
            </w:pPr>
            <w:bookmarkStart w:id="5" w:name="OLE_LINK4"/>
            <w:bookmarkStart w:id="6" w:name="OLE_LINK3"/>
            <w:r>
              <w:rPr>
                <w:rFonts w:hint="eastAsia" w:ascii="楷体" w:hAnsi="楷体" w:eastAsia="楷体"/>
                <w:b/>
                <w:bCs/>
                <w:spacing w:val="2"/>
                <w:sz w:val="24"/>
                <w:szCs w:val="24"/>
                <w:lang w:val="en-GB"/>
              </w:rPr>
              <w:t>(1)</w:t>
            </w:r>
            <w:r>
              <w:rPr>
                <w:rFonts w:hint="eastAsia" w:ascii="楷体" w:hAnsi="楷体" w:eastAsia="楷体"/>
                <w:b/>
                <w:spacing w:val="2"/>
                <w:sz w:val="24"/>
                <w:szCs w:val="24"/>
              </w:rPr>
              <w:t>多酸结构化学研究</w:t>
            </w:r>
            <w:bookmarkEnd w:id="5"/>
            <w:bookmarkEnd w:id="6"/>
          </w:p>
          <w:p>
            <w:pPr>
              <w:numPr>
                <w:ilvl w:val="0"/>
                <w:numId w:val="1"/>
              </w:numPr>
              <w:spacing w:line="360" w:lineRule="auto"/>
              <w:rPr>
                <w:rFonts w:ascii="楷体" w:hAnsi="楷体" w:eastAsia="楷体"/>
                <w:b/>
                <w:spacing w:val="2"/>
                <w:sz w:val="24"/>
              </w:rPr>
            </w:pPr>
            <w:r>
              <w:rPr>
                <w:rFonts w:hint="eastAsia" w:ascii="楷体" w:hAnsi="楷体" w:eastAsia="楷体"/>
                <w:b/>
                <w:spacing w:val="2"/>
                <w:sz w:val="24"/>
              </w:rPr>
              <w:t>多钨酸的异金属化研究</w:t>
            </w:r>
          </w:p>
          <w:p>
            <w:pPr>
              <w:pStyle w:val="2"/>
              <w:spacing w:line="360" w:lineRule="auto"/>
              <w:ind w:firstLine="425"/>
              <w:rPr>
                <w:rFonts w:ascii="楷体" w:hAnsi="楷体" w:eastAsia="楷体"/>
                <w:bCs/>
                <w:spacing w:val="2"/>
                <w:sz w:val="24"/>
                <w:szCs w:val="24"/>
              </w:rPr>
            </w:pPr>
            <w:bookmarkStart w:id="7" w:name="OLE_LINK9"/>
            <w:bookmarkStart w:id="8" w:name="OLE_LINK10"/>
            <w:r>
              <w:rPr>
                <w:rFonts w:hint="eastAsia" w:ascii="楷体" w:hAnsi="楷体" w:eastAsia="楷体"/>
                <w:spacing w:val="2"/>
                <w:sz w:val="24"/>
                <w:szCs w:val="24"/>
              </w:rPr>
              <w:t>创新性地开展了水热下的缺位多酸与3d金属间的结构导向反应研究，证实了缺位多酸的缺位在水热下作为结构导向剂的可行性和独特性，为3d金属嵌入取代多酸的合成提供新的策略。</w:t>
            </w:r>
            <w:bookmarkEnd w:id="7"/>
            <w:bookmarkEnd w:id="8"/>
            <w:r>
              <w:rPr>
                <w:rFonts w:hint="eastAsia" w:ascii="楷体" w:hAnsi="楷体" w:eastAsia="楷体"/>
                <w:spacing w:val="2"/>
                <w:sz w:val="24"/>
                <w:szCs w:val="24"/>
              </w:rPr>
              <w:t>代表性成果有：</w:t>
            </w:r>
            <w:r>
              <w:rPr>
                <w:rFonts w:ascii="楷体" w:hAnsi="楷体" w:eastAsia="楷体"/>
                <w:spacing w:val="2"/>
                <w:sz w:val="24"/>
                <w:szCs w:val="24"/>
              </w:rPr>
              <w:t>1</w:t>
            </w:r>
            <w:r>
              <w:rPr>
                <w:rFonts w:hint="eastAsia" w:ascii="楷体" w:hAnsi="楷体" w:eastAsia="楷体"/>
                <w:spacing w:val="2"/>
                <w:sz w:val="24"/>
                <w:szCs w:val="24"/>
              </w:rPr>
              <w:t>）合成了系列含</w:t>
            </w:r>
            <w:r>
              <w:rPr>
                <w:rFonts w:ascii="楷体" w:hAnsi="楷体" w:eastAsia="楷体"/>
                <w:spacing w:val="2"/>
                <w:sz w:val="24"/>
                <w:szCs w:val="24"/>
              </w:rPr>
              <w:t xml:space="preserve">22 </w:t>
            </w:r>
            <w:r>
              <w:rPr>
                <w:rFonts w:hint="eastAsia" w:ascii="楷体" w:hAnsi="楷体" w:eastAsia="楷体"/>
                <w:spacing w:val="2"/>
                <w:sz w:val="24"/>
                <w:szCs w:val="24"/>
              </w:rPr>
              <w:t>个Ni取代的</w:t>
            </w:r>
            <w:bookmarkStart w:id="9" w:name="OLE_LINK1"/>
            <w:bookmarkStart w:id="10" w:name="OLE_LINK2"/>
            <w:r>
              <w:rPr>
                <w:rFonts w:hint="eastAsia" w:ascii="楷体" w:hAnsi="楷体" w:eastAsia="楷体"/>
                <w:spacing w:val="2"/>
                <w:sz w:val="24"/>
                <w:szCs w:val="24"/>
              </w:rPr>
              <w:t>多钨酸</w:t>
            </w:r>
            <w:bookmarkEnd w:id="9"/>
            <w:bookmarkEnd w:id="10"/>
            <w:r>
              <w:rPr>
                <w:rFonts w:ascii="楷体" w:hAnsi="楷体" w:eastAsia="楷体"/>
                <w:spacing w:val="2"/>
                <w:sz w:val="24"/>
                <w:szCs w:val="24"/>
              </w:rPr>
              <w:t>(</w:t>
            </w:r>
            <w:r>
              <w:rPr>
                <w:rFonts w:ascii="楷体" w:hAnsi="楷体" w:eastAsia="楷体"/>
                <w:i/>
                <w:spacing w:val="2"/>
                <w:sz w:val="24"/>
                <w:szCs w:val="24"/>
              </w:rPr>
              <w:t>Angew</w:t>
            </w:r>
            <w:r>
              <w:rPr>
                <w:rFonts w:hint="eastAsia" w:ascii="楷体" w:hAnsi="楷体" w:eastAsia="楷体"/>
                <w:i/>
                <w:spacing w:val="2"/>
                <w:sz w:val="24"/>
                <w:szCs w:val="24"/>
              </w:rPr>
              <w:t xml:space="preserve"> </w:t>
            </w:r>
            <w:r>
              <w:rPr>
                <w:rFonts w:ascii="楷体" w:hAnsi="楷体" w:eastAsia="楷体"/>
                <w:i/>
                <w:spacing w:val="2"/>
                <w:sz w:val="24"/>
                <w:szCs w:val="24"/>
              </w:rPr>
              <w:t>Chem Int Ed</w:t>
            </w:r>
            <w:r>
              <w:rPr>
                <w:rFonts w:ascii="楷体" w:hAnsi="楷体" w:eastAsia="楷体"/>
                <w:spacing w:val="2"/>
                <w:sz w:val="24"/>
                <w:szCs w:val="24"/>
              </w:rPr>
              <w:t>, 2009, 48, 7176</w:t>
            </w:r>
            <w:r>
              <w:rPr>
                <w:rFonts w:hint="eastAsia" w:ascii="楷体" w:hAnsi="楷体" w:eastAsia="楷体"/>
                <w:spacing w:val="2"/>
                <w:sz w:val="24"/>
                <w:szCs w:val="24"/>
              </w:rPr>
              <w:t>，内封面论文），突破了已知最多只含9个Ni的多钨酸；2</w:t>
            </w:r>
            <w:r>
              <w:rPr>
                <w:rFonts w:ascii="楷体" w:hAnsi="楷体" w:eastAsia="楷体"/>
                <w:spacing w:val="2"/>
                <w:sz w:val="24"/>
                <w:szCs w:val="24"/>
              </w:rPr>
              <w:t>)</w:t>
            </w:r>
            <w:r>
              <w:rPr>
                <w:rFonts w:hint="eastAsia" w:ascii="楷体" w:hAnsi="楷体" w:eastAsia="楷体"/>
                <w:spacing w:val="2"/>
                <w:sz w:val="24"/>
                <w:szCs w:val="24"/>
              </w:rPr>
              <w:t xml:space="preserve"> 利用嵌入的3d金属簇可与有机配体配位的策略设计合成了系列从独特的零维分子笼，一维管，二维层到三维框架的多钨酸</w:t>
            </w:r>
            <w:r>
              <w:rPr>
                <w:rFonts w:ascii="楷体" w:hAnsi="楷体" w:eastAsia="楷体"/>
                <w:spacing w:val="2"/>
                <w:sz w:val="24"/>
                <w:szCs w:val="24"/>
              </w:rPr>
              <w:t>-</w:t>
            </w:r>
            <w:r>
              <w:rPr>
                <w:rFonts w:hint="eastAsia" w:ascii="楷体" w:hAnsi="楷体" w:eastAsia="楷体"/>
                <w:spacing w:val="2"/>
                <w:sz w:val="24"/>
                <w:szCs w:val="24"/>
              </w:rPr>
              <w:t>有机材料</w:t>
            </w:r>
            <w:r>
              <w:rPr>
                <w:rFonts w:ascii="楷体" w:hAnsi="楷体" w:eastAsia="楷体"/>
                <w:spacing w:val="2"/>
                <w:sz w:val="24"/>
                <w:szCs w:val="24"/>
              </w:rPr>
              <w:t>(</w:t>
            </w:r>
            <w:r>
              <w:rPr>
                <w:rFonts w:ascii="楷体" w:hAnsi="楷体" w:eastAsia="楷体"/>
                <w:i/>
                <w:spacing w:val="2"/>
                <w:sz w:val="24"/>
                <w:szCs w:val="24"/>
              </w:rPr>
              <w:t>Angew Chem Int Ed</w:t>
            </w:r>
            <w:r>
              <w:rPr>
                <w:rFonts w:ascii="楷体" w:hAnsi="楷体" w:eastAsia="楷体"/>
                <w:spacing w:val="2"/>
                <w:sz w:val="24"/>
                <w:szCs w:val="24"/>
              </w:rPr>
              <w:t>, 2008, 47, 3909</w:t>
            </w:r>
            <w:r>
              <w:rPr>
                <w:rFonts w:hint="eastAsia" w:ascii="楷体" w:hAnsi="楷体" w:eastAsia="楷体"/>
                <w:spacing w:val="2"/>
                <w:sz w:val="24"/>
                <w:szCs w:val="24"/>
              </w:rPr>
              <w:t>，封面论文；</w:t>
            </w:r>
            <w:r>
              <w:rPr>
                <w:rFonts w:ascii="楷体" w:hAnsi="楷体" w:eastAsia="楷体"/>
                <w:i/>
                <w:spacing w:val="2"/>
                <w:sz w:val="24"/>
                <w:szCs w:val="24"/>
              </w:rPr>
              <w:t>J</w:t>
            </w:r>
            <w:r>
              <w:rPr>
                <w:rFonts w:hint="eastAsia" w:ascii="楷体" w:hAnsi="楷体" w:eastAsia="楷体"/>
                <w:i/>
                <w:spacing w:val="2"/>
                <w:sz w:val="24"/>
                <w:szCs w:val="24"/>
              </w:rPr>
              <w:t xml:space="preserve"> </w:t>
            </w:r>
            <w:r>
              <w:rPr>
                <w:rFonts w:ascii="楷体" w:hAnsi="楷体" w:eastAsia="楷体"/>
                <w:i/>
                <w:spacing w:val="2"/>
                <w:sz w:val="24"/>
                <w:szCs w:val="24"/>
              </w:rPr>
              <w:t>Am Chem Soc</w:t>
            </w:r>
            <w:r>
              <w:rPr>
                <w:rFonts w:ascii="楷体" w:hAnsi="楷体" w:eastAsia="楷体"/>
                <w:spacing w:val="2"/>
                <w:sz w:val="24"/>
                <w:szCs w:val="24"/>
              </w:rPr>
              <w:t>, 2010, 132, 15102)</w:t>
            </w:r>
            <w:r>
              <w:rPr>
                <w:rFonts w:hint="eastAsia" w:ascii="楷体" w:hAnsi="楷体" w:eastAsia="楷体"/>
                <w:spacing w:val="2"/>
                <w:sz w:val="24"/>
                <w:szCs w:val="24"/>
              </w:rPr>
              <w:t>,首次实现了多钨酸和金属</w:t>
            </w:r>
            <w:r>
              <w:rPr>
                <w:rFonts w:ascii="楷体" w:hAnsi="楷体" w:eastAsia="楷体"/>
                <w:spacing w:val="2"/>
                <w:sz w:val="24"/>
                <w:szCs w:val="24"/>
              </w:rPr>
              <w:t>-</w:t>
            </w:r>
            <w:r>
              <w:rPr>
                <w:rFonts w:hint="eastAsia" w:ascii="楷体" w:hAnsi="楷体" w:eastAsia="楷体"/>
                <w:spacing w:val="2"/>
                <w:sz w:val="24"/>
                <w:szCs w:val="24"/>
              </w:rPr>
              <w:t>有机骨架合成研究体系的前沿交叉，为相关学科的研究和新材料的开发提供了新的研究点；3）在稀土离子为模板的层层导向组装下，构筑了一系列具有俄罗斯套娃似的26核稀土簇嵌入的四壳层十聚多钨酸，突破了已知最高仅为10核稀土簇取代的结构。这类巨型十聚多钨酸可以继续作为前体和3d金属反应，形成一系列拓展的无机-有机杂化框架材料。这些材料具有丰富的客体离子，可以呈现优异的离子导电性能（</w:t>
            </w:r>
            <w:r>
              <w:rPr>
                <w:rFonts w:ascii="楷体" w:hAnsi="楷体" w:eastAsia="楷体"/>
                <w:i/>
                <w:spacing w:val="2"/>
                <w:sz w:val="24"/>
                <w:szCs w:val="24"/>
              </w:rPr>
              <w:t>Angew Chem Int Ed</w:t>
            </w:r>
            <w:r>
              <w:rPr>
                <w:rFonts w:hint="eastAsia" w:ascii="楷体" w:hAnsi="楷体" w:eastAsia="楷体"/>
                <w:spacing w:val="2"/>
                <w:sz w:val="24"/>
                <w:szCs w:val="24"/>
              </w:rPr>
              <w:t xml:space="preserve">, 2017, </w:t>
            </w:r>
            <w:r>
              <w:rPr>
                <w:rFonts w:ascii="楷体" w:hAnsi="楷体" w:eastAsia="楷体"/>
                <w:spacing w:val="2"/>
                <w:sz w:val="24"/>
                <w:szCs w:val="24"/>
              </w:rPr>
              <w:t>56, 2664</w:t>
            </w:r>
            <w:r>
              <w:rPr>
                <w:rFonts w:hint="eastAsia" w:ascii="楷体" w:hAnsi="楷体" w:eastAsia="楷体"/>
                <w:spacing w:val="2"/>
                <w:sz w:val="24"/>
                <w:szCs w:val="24"/>
              </w:rPr>
              <w:t>）。</w:t>
            </w:r>
          </w:p>
          <w:p>
            <w:pPr>
              <w:pStyle w:val="2"/>
              <w:spacing w:line="360" w:lineRule="auto"/>
              <w:ind w:firstLine="425"/>
              <w:rPr>
                <w:rFonts w:ascii="楷体" w:hAnsi="楷体" w:eastAsia="楷体"/>
                <w:b/>
                <w:spacing w:val="2"/>
                <w:sz w:val="24"/>
                <w:szCs w:val="24"/>
              </w:rPr>
            </w:pPr>
            <w:r>
              <w:rPr>
                <w:rFonts w:hint="eastAsia" w:ascii="楷体" w:hAnsi="楷体" w:eastAsia="楷体"/>
                <w:b/>
                <w:spacing w:val="2"/>
                <w:sz w:val="24"/>
                <w:szCs w:val="24"/>
              </w:rPr>
              <w:t>2)多铌酸的异金属化研究</w:t>
            </w:r>
          </w:p>
          <w:p>
            <w:pPr>
              <w:pStyle w:val="2"/>
              <w:spacing w:line="360" w:lineRule="auto"/>
              <w:ind w:firstLine="425"/>
              <w:rPr>
                <w:rFonts w:ascii="楷体" w:hAnsi="楷体" w:eastAsia="楷体"/>
                <w:spacing w:val="2"/>
                <w:sz w:val="24"/>
                <w:szCs w:val="24"/>
              </w:rPr>
            </w:pPr>
            <w:r>
              <w:rPr>
                <w:rFonts w:hint="eastAsia" w:ascii="楷体" w:hAnsi="楷体" w:eastAsia="楷体"/>
                <w:spacing w:val="2"/>
                <w:sz w:val="24"/>
                <w:szCs w:val="24"/>
              </w:rPr>
              <w:t>由于大多铌酸盐或铌氧化物难溶，且具有相对高的化学稳定性和低的化学反应活泼性，所以多铌酸的异金属化相当困难。申请人通过过渡金属缓释的合成策略成功构筑了一系列基于2s、3s、3d、4d、5d和4f六种金属组成的迄今为止最大异金属多铌酸。这类簇聚物还可以作为构筑单元通过金属配合物连成拓展的具有线性变温荧光性能的无机-有机杂化框架结构材料</w:t>
            </w:r>
            <w:r>
              <w:rPr>
                <w:rFonts w:ascii="楷体" w:hAnsi="楷体" w:eastAsia="楷体"/>
                <w:spacing w:val="2"/>
                <w:sz w:val="24"/>
                <w:szCs w:val="24"/>
              </w:rPr>
              <w:t>(</w:t>
            </w:r>
            <w:r>
              <w:rPr>
                <w:rFonts w:ascii="楷体" w:hAnsi="楷体" w:eastAsia="楷体"/>
                <w:i/>
                <w:spacing w:val="2"/>
                <w:sz w:val="24"/>
                <w:szCs w:val="24"/>
              </w:rPr>
              <w:t>Angew</w:t>
            </w:r>
            <w:r>
              <w:rPr>
                <w:rFonts w:hint="eastAsia" w:ascii="楷体" w:hAnsi="楷体" w:eastAsia="楷体"/>
                <w:i/>
                <w:spacing w:val="2"/>
                <w:sz w:val="24"/>
                <w:szCs w:val="24"/>
              </w:rPr>
              <w:t xml:space="preserve"> </w:t>
            </w:r>
            <w:r>
              <w:rPr>
                <w:rFonts w:ascii="楷体" w:hAnsi="楷体" w:eastAsia="楷体"/>
                <w:i/>
                <w:spacing w:val="2"/>
                <w:sz w:val="24"/>
                <w:szCs w:val="24"/>
              </w:rPr>
              <w:t>Chem</w:t>
            </w:r>
            <w:r>
              <w:rPr>
                <w:rFonts w:hint="eastAsia" w:ascii="楷体" w:hAnsi="楷体" w:eastAsia="楷体"/>
                <w:i/>
                <w:spacing w:val="2"/>
                <w:sz w:val="24"/>
                <w:szCs w:val="24"/>
              </w:rPr>
              <w:t xml:space="preserve"> </w:t>
            </w:r>
            <w:r>
              <w:rPr>
                <w:rFonts w:ascii="楷体" w:hAnsi="楷体" w:eastAsia="楷体"/>
                <w:i/>
                <w:spacing w:val="2"/>
                <w:sz w:val="24"/>
                <w:szCs w:val="24"/>
              </w:rPr>
              <w:t>Int</w:t>
            </w:r>
            <w:r>
              <w:rPr>
                <w:rFonts w:hint="eastAsia" w:ascii="楷体" w:hAnsi="楷体" w:eastAsia="楷体"/>
                <w:i/>
                <w:spacing w:val="2"/>
                <w:sz w:val="24"/>
                <w:szCs w:val="24"/>
              </w:rPr>
              <w:t xml:space="preserve"> </w:t>
            </w:r>
            <w:r>
              <w:rPr>
                <w:rFonts w:ascii="楷体" w:hAnsi="楷体" w:eastAsia="楷体"/>
                <w:i/>
                <w:spacing w:val="2"/>
                <w:sz w:val="24"/>
                <w:szCs w:val="24"/>
              </w:rPr>
              <w:t>Ed</w:t>
            </w:r>
            <w:r>
              <w:rPr>
                <w:rFonts w:hint="eastAsia" w:ascii="楷体" w:hAnsi="楷体" w:eastAsia="楷体"/>
                <w:spacing w:val="2"/>
                <w:sz w:val="24"/>
                <w:szCs w:val="24"/>
              </w:rPr>
              <w:t>，</w:t>
            </w:r>
            <w:r>
              <w:rPr>
                <w:rFonts w:ascii="楷体" w:hAnsi="楷体" w:eastAsia="楷体"/>
                <w:spacing w:val="2"/>
                <w:sz w:val="24"/>
                <w:szCs w:val="24"/>
              </w:rPr>
              <w:t xml:space="preserve">2016, </w:t>
            </w:r>
            <w:r>
              <w:rPr>
                <w:rFonts w:ascii="楷体" w:hAnsi="楷体" w:eastAsia="楷体"/>
                <w:i/>
                <w:spacing w:val="2"/>
                <w:sz w:val="24"/>
                <w:szCs w:val="24"/>
              </w:rPr>
              <w:t>55</w:t>
            </w:r>
            <w:r>
              <w:rPr>
                <w:rFonts w:ascii="楷体" w:hAnsi="楷体" w:eastAsia="楷体"/>
                <w:spacing w:val="2"/>
                <w:sz w:val="24"/>
                <w:szCs w:val="24"/>
              </w:rPr>
              <w:t>, 13793</w:t>
            </w:r>
            <w:r>
              <w:rPr>
                <w:rFonts w:hint="eastAsia" w:ascii="楷体" w:hAnsi="楷体" w:eastAsia="楷体"/>
                <w:spacing w:val="2"/>
                <w:sz w:val="24"/>
                <w:szCs w:val="24"/>
              </w:rPr>
              <w:t>，VIP论文</w:t>
            </w:r>
            <w:r>
              <w:rPr>
                <w:rFonts w:ascii="楷体" w:hAnsi="楷体" w:eastAsia="楷体"/>
                <w:spacing w:val="2"/>
                <w:sz w:val="24"/>
                <w:szCs w:val="24"/>
              </w:rPr>
              <w:t>)</w:t>
            </w:r>
            <w:r>
              <w:rPr>
                <w:rFonts w:hint="eastAsia" w:ascii="楷体" w:hAnsi="楷体" w:eastAsia="楷体"/>
                <w:spacing w:val="2"/>
                <w:sz w:val="24"/>
                <w:szCs w:val="24"/>
              </w:rPr>
              <w:t>。</w:t>
            </w:r>
          </w:p>
          <w:p>
            <w:pPr>
              <w:pStyle w:val="2"/>
              <w:spacing w:line="360" w:lineRule="auto"/>
              <w:ind w:firstLine="425"/>
              <w:rPr>
                <w:rFonts w:ascii="楷体" w:hAnsi="楷体" w:eastAsia="楷体"/>
                <w:spacing w:val="2"/>
                <w:sz w:val="24"/>
                <w:szCs w:val="24"/>
              </w:rPr>
            </w:pPr>
            <w:r>
              <w:rPr>
                <w:rFonts w:hint="eastAsia" w:ascii="楷体" w:hAnsi="楷体" w:eastAsia="楷体"/>
                <w:b/>
                <w:bCs/>
                <w:spacing w:val="2"/>
                <w:sz w:val="24"/>
                <w:szCs w:val="24"/>
                <w:lang w:val="en-GB"/>
              </w:rPr>
              <w:t>(2)</w:t>
            </w:r>
            <w:r>
              <w:rPr>
                <w:rFonts w:hint="eastAsia" w:ascii="楷体" w:hAnsi="楷体" w:eastAsia="楷体"/>
                <w:b/>
                <w:spacing w:val="2"/>
                <w:sz w:val="24"/>
                <w:szCs w:val="24"/>
              </w:rPr>
              <w:t>金属有机框架结构化学研究</w:t>
            </w:r>
          </w:p>
          <w:p>
            <w:pPr>
              <w:pStyle w:val="2"/>
              <w:spacing w:line="360" w:lineRule="auto"/>
              <w:ind w:firstLine="425"/>
              <w:rPr>
                <w:rFonts w:ascii="楷体" w:hAnsi="楷体" w:eastAsia="楷体"/>
                <w:bCs/>
                <w:spacing w:val="2"/>
                <w:sz w:val="24"/>
                <w:szCs w:val="24"/>
              </w:rPr>
            </w:pPr>
            <w:r>
              <w:rPr>
                <w:rFonts w:hint="eastAsia" w:ascii="楷体" w:hAnsi="楷体" w:eastAsia="楷体"/>
                <w:bCs/>
                <w:spacing w:val="2"/>
                <w:sz w:val="24"/>
                <w:szCs w:val="24"/>
              </w:rPr>
              <w:t>1）</w:t>
            </w:r>
            <w:r>
              <w:rPr>
                <w:rFonts w:hint="eastAsia" w:ascii="楷体" w:hAnsi="楷体" w:eastAsia="楷体"/>
                <w:spacing w:val="2"/>
                <w:sz w:val="24"/>
                <w:szCs w:val="24"/>
              </w:rPr>
              <w:t>基于沸石材料在工业上的重要应用，设计合成具有沸石型大环孔道的低骨架密度的金属</w:t>
            </w:r>
            <w:r>
              <w:rPr>
                <w:rFonts w:ascii="楷体" w:hAnsi="楷体" w:eastAsia="楷体"/>
                <w:spacing w:val="2"/>
                <w:sz w:val="24"/>
                <w:szCs w:val="24"/>
              </w:rPr>
              <w:t>-</w:t>
            </w:r>
            <w:r>
              <w:rPr>
                <w:rFonts w:hint="eastAsia" w:ascii="楷体" w:hAnsi="楷体" w:eastAsia="楷体"/>
                <w:spacing w:val="2"/>
                <w:sz w:val="24"/>
                <w:szCs w:val="24"/>
              </w:rPr>
              <w:t>有机骨架材料是一项令人兴趣但富有挑战性的研究工作。申请人通过电荷及几何结构匹配的合成策略首次成功合成了</w:t>
            </w:r>
            <w:r>
              <w:rPr>
                <w:rFonts w:hint="eastAsia" w:ascii="楷体" w:hAnsi="楷体" w:eastAsia="楷体"/>
                <w:bCs/>
                <w:spacing w:val="2"/>
                <w:sz w:val="24"/>
                <w:szCs w:val="24"/>
              </w:rPr>
              <w:t>一系列具有12元环超大孔道的NPO沸石型金属-有机框架材料(</w:t>
            </w:r>
            <w:r>
              <w:rPr>
                <w:rFonts w:ascii="楷体" w:hAnsi="楷体" w:eastAsia="楷体"/>
                <w:i/>
                <w:spacing w:val="2"/>
                <w:sz w:val="24"/>
                <w:szCs w:val="24"/>
              </w:rPr>
              <w:t>Angew Chem Int Ed</w:t>
            </w:r>
            <w:r>
              <w:rPr>
                <w:rFonts w:ascii="楷体" w:hAnsi="楷体" w:eastAsia="楷体"/>
                <w:spacing w:val="2"/>
                <w:sz w:val="24"/>
                <w:szCs w:val="24"/>
              </w:rPr>
              <w:t>, 2011, 50, 1849</w:t>
            </w:r>
            <w:r>
              <w:rPr>
                <w:rFonts w:hint="eastAsia" w:ascii="楷体" w:hAnsi="楷体" w:eastAsia="楷体"/>
                <w:spacing w:val="2"/>
                <w:sz w:val="24"/>
                <w:szCs w:val="24"/>
              </w:rPr>
              <w:t>)</w:t>
            </w:r>
            <w:r>
              <w:rPr>
                <w:rFonts w:hint="eastAsia" w:ascii="楷体" w:hAnsi="楷体" w:eastAsia="楷体"/>
                <w:bCs/>
                <w:spacing w:val="2"/>
                <w:sz w:val="24"/>
                <w:szCs w:val="24"/>
              </w:rPr>
              <w:t>。</w:t>
            </w:r>
          </w:p>
          <w:p>
            <w:pPr>
              <w:pStyle w:val="2"/>
              <w:spacing w:line="360" w:lineRule="auto"/>
              <w:ind w:firstLine="425"/>
              <w:rPr>
                <w:rFonts w:ascii="楷体" w:hAnsi="楷体" w:eastAsia="楷体"/>
                <w:bCs/>
                <w:spacing w:val="2"/>
                <w:sz w:val="24"/>
                <w:szCs w:val="24"/>
              </w:rPr>
            </w:pPr>
            <w:r>
              <w:rPr>
                <w:rFonts w:hint="eastAsia" w:ascii="楷体" w:hAnsi="楷体" w:eastAsia="楷体"/>
                <w:bCs/>
                <w:spacing w:val="2"/>
                <w:sz w:val="24"/>
                <w:szCs w:val="24"/>
              </w:rPr>
              <w:t>2）合金的许多性能优于纯金属，这触发了申请人想在金属</w:t>
            </w:r>
            <w:r>
              <w:rPr>
                <w:rFonts w:ascii="楷体" w:hAnsi="楷体" w:eastAsia="楷体"/>
                <w:bCs/>
                <w:spacing w:val="2"/>
                <w:sz w:val="24"/>
                <w:szCs w:val="24"/>
              </w:rPr>
              <w:t>-</w:t>
            </w:r>
            <w:r>
              <w:rPr>
                <w:rFonts w:hint="eastAsia" w:ascii="楷体" w:hAnsi="楷体" w:eastAsia="楷体"/>
                <w:bCs/>
                <w:spacing w:val="2"/>
                <w:sz w:val="24"/>
                <w:szCs w:val="24"/>
              </w:rPr>
              <w:t>有机框架结构中植入异金属来实现对材料异金属化进而在获得新颖结构功能材料的同时为材料的物理化学性能调控提供可能。基于此，申请人通过对称配体的不对称诱导组装策略创新性地实现了对同一沸石型金属有机框架材料内壁植入不同类型及核数的第二过渡金属离子或簇离子，并通过异金属修饰实现了对母体框架材料的框架电荷属性及物理化学性质进行调控（</w:t>
            </w:r>
            <w:r>
              <w:rPr>
                <w:rFonts w:ascii="楷体" w:hAnsi="楷体" w:eastAsia="楷体"/>
                <w:i/>
                <w:spacing w:val="2"/>
                <w:sz w:val="24"/>
                <w:szCs w:val="24"/>
              </w:rPr>
              <w:t>J Am Chem Soc</w:t>
            </w:r>
            <w:r>
              <w:rPr>
                <w:rFonts w:hint="eastAsia" w:ascii="楷体" w:hAnsi="楷体" w:eastAsia="楷体"/>
                <w:spacing w:val="2"/>
                <w:sz w:val="24"/>
                <w:szCs w:val="24"/>
              </w:rPr>
              <w:t>，</w:t>
            </w:r>
            <w:r>
              <w:rPr>
                <w:rFonts w:ascii="楷体" w:hAnsi="楷体" w:eastAsia="楷体"/>
                <w:spacing w:val="2"/>
                <w:sz w:val="24"/>
                <w:szCs w:val="24"/>
              </w:rPr>
              <w:t>2012, 134, 1934</w:t>
            </w:r>
            <w:r>
              <w:rPr>
                <w:rFonts w:hint="eastAsia" w:ascii="楷体" w:hAnsi="楷体" w:eastAsia="楷体"/>
                <w:spacing w:val="2"/>
                <w:sz w:val="24"/>
                <w:szCs w:val="24"/>
              </w:rPr>
              <w:t>；</w:t>
            </w:r>
            <w:r>
              <w:rPr>
                <w:rFonts w:ascii="楷体" w:hAnsi="楷体" w:eastAsia="楷体"/>
                <w:i/>
                <w:spacing w:val="2"/>
                <w:sz w:val="24"/>
                <w:szCs w:val="24"/>
              </w:rPr>
              <w:t>J Am Chem Soc</w:t>
            </w:r>
            <w:r>
              <w:rPr>
                <w:rFonts w:hint="eastAsia" w:ascii="楷体" w:hAnsi="楷体" w:eastAsia="楷体"/>
                <w:spacing w:val="2"/>
                <w:sz w:val="24"/>
                <w:szCs w:val="24"/>
              </w:rPr>
              <w:t>，</w:t>
            </w:r>
            <w:r>
              <w:rPr>
                <w:rFonts w:ascii="楷体" w:hAnsi="楷体" w:eastAsia="楷体"/>
                <w:spacing w:val="2"/>
                <w:sz w:val="24"/>
                <w:szCs w:val="24"/>
              </w:rPr>
              <w:t>2012, 134, 11936</w:t>
            </w:r>
            <w:r>
              <w:rPr>
                <w:rFonts w:hint="eastAsia" w:ascii="楷体" w:hAnsi="楷体" w:eastAsia="楷体"/>
                <w:spacing w:val="2"/>
                <w:sz w:val="24"/>
                <w:szCs w:val="24"/>
              </w:rPr>
              <w:t>;</w:t>
            </w:r>
            <w:r>
              <w:rPr>
                <w:rFonts w:ascii="楷体" w:hAnsi="楷体" w:eastAsia="楷体"/>
                <w:i/>
                <w:spacing w:val="2"/>
                <w:sz w:val="24"/>
                <w:szCs w:val="24"/>
              </w:rPr>
              <w:t xml:space="preserve"> J</w:t>
            </w:r>
            <w:r>
              <w:rPr>
                <w:rFonts w:hint="eastAsia" w:ascii="楷体" w:hAnsi="楷体" w:eastAsia="楷体"/>
                <w:i/>
                <w:spacing w:val="2"/>
                <w:sz w:val="24"/>
                <w:szCs w:val="24"/>
              </w:rPr>
              <w:t xml:space="preserve"> </w:t>
            </w:r>
            <w:r>
              <w:rPr>
                <w:rFonts w:ascii="楷体" w:hAnsi="楷体" w:eastAsia="楷体"/>
                <w:i/>
                <w:spacing w:val="2"/>
                <w:sz w:val="24"/>
                <w:szCs w:val="24"/>
              </w:rPr>
              <w:t>Am</w:t>
            </w:r>
            <w:r>
              <w:rPr>
                <w:rFonts w:hint="eastAsia" w:ascii="楷体" w:hAnsi="楷体" w:eastAsia="楷体"/>
                <w:i/>
                <w:spacing w:val="2"/>
                <w:sz w:val="24"/>
                <w:szCs w:val="24"/>
              </w:rPr>
              <w:t xml:space="preserve"> </w:t>
            </w:r>
            <w:r>
              <w:rPr>
                <w:rFonts w:ascii="楷体" w:hAnsi="楷体" w:eastAsia="楷体"/>
                <w:i/>
                <w:spacing w:val="2"/>
                <w:sz w:val="24"/>
                <w:szCs w:val="24"/>
              </w:rPr>
              <w:t>Chem</w:t>
            </w:r>
            <w:r>
              <w:rPr>
                <w:rFonts w:hint="eastAsia" w:ascii="楷体" w:hAnsi="楷体" w:eastAsia="楷体"/>
                <w:i/>
                <w:spacing w:val="2"/>
                <w:sz w:val="24"/>
                <w:szCs w:val="24"/>
              </w:rPr>
              <w:t xml:space="preserve"> </w:t>
            </w:r>
            <w:r>
              <w:rPr>
                <w:rFonts w:ascii="楷体" w:hAnsi="楷体" w:eastAsia="楷体"/>
                <w:i/>
                <w:spacing w:val="2"/>
                <w:sz w:val="24"/>
                <w:szCs w:val="24"/>
              </w:rPr>
              <w:t>Soc</w:t>
            </w:r>
            <w:r>
              <w:rPr>
                <w:rFonts w:hint="eastAsia" w:ascii="楷体" w:hAnsi="楷体" w:eastAsia="楷体"/>
                <w:spacing w:val="2"/>
                <w:sz w:val="24"/>
                <w:szCs w:val="24"/>
              </w:rPr>
              <w:t>，</w:t>
            </w:r>
            <w:r>
              <w:rPr>
                <w:rFonts w:ascii="楷体" w:hAnsi="楷体" w:eastAsia="楷体"/>
                <w:spacing w:val="2"/>
                <w:sz w:val="24"/>
                <w:szCs w:val="24"/>
              </w:rPr>
              <w:t>2013, 135, 10270</w:t>
            </w:r>
            <w:r>
              <w:rPr>
                <w:rFonts w:hint="eastAsia" w:ascii="楷体" w:hAnsi="楷体" w:eastAsia="楷体"/>
                <w:spacing w:val="2"/>
                <w:sz w:val="24"/>
                <w:szCs w:val="24"/>
              </w:rPr>
              <w:t>）</w:t>
            </w:r>
            <w:r>
              <w:rPr>
                <w:rFonts w:hint="eastAsia" w:ascii="楷体" w:hAnsi="楷体" w:eastAsia="楷体"/>
                <w:bCs/>
                <w:spacing w:val="2"/>
                <w:sz w:val="24"/>
                <w:szCs w:val="24"/>
              </w:rPr>
              <w:t>。</w:t>
            </w:r>
          </w:p>
          <w:p>
            <w:pPr>
              <w:pStyle w:val="2"/>
              <w:spacing w:line="360" w:lineRule="auto"/>
              <w:ind w:firstLine="425"/>
              <w:rPr>
                <w:rFonts w:ascii="楷体" w:hAnsi="楷体" w:eastAsia="楷体"/>
                <w:spacing w:val="2"/>
                <w:sz w:val="24"/>
                <w:szCs w:val="24"/>
              </w:rPr>
            </w:pPr>
            <w:r>
              <w:rPr>
                <w:rFonts w:hint="eastAsia" w:ascii="楷体" w:hAnsi="楷体" w:eastAsia="楷体"/>
                <w:bCs/>
                <w:spacing w:val="2"/>
                <w:sz w:val="24"/>
                <w:szCs w:val="24"/>
              </w:rPr>
              <w:t>3）金属</w:t>
            </w:r>
            <w:r>
              <w:rPr>
                <w:rFonts w:ascii="楷体" w:hAnsi="楷体" w:eastAsia="楷体"/>
                <w:bCs/>
                <w:spacing w:val="2"/>
                <w:sz w:val="24"/>
                <w:szCs w:val="24"/>
              </w:rPr>
              <w:t>-</w:t>
            </w:r>
            <w:r>
              <w:rPr>
                <w:rFonts w:hint="eastAsia" w:ascii="楷体" w:hAnsi="楷体" w:eastAsia="楷体"/>
                <w:bCs/>
                <w:spacing w:val="2"/>
                <w:sz w:val="24"/>
                <w:szCs w:val="24"/>
              </w:rPr>
              <w:t>有机多面体骨架材料在仿生模拟和主客体化学研究领域引起人们的高度兴趣。然这类材料都是基于单壳层的金属</w:t>
            </w:r>
            <w:r>
              <w:rPr>
                <w:rFonts w:ascii="楷体" w:hAnsi="楷体" w:eastAsia="楷体"/>
                <w:bCs/>
                <w:spacing w:val="2"/>
                <w:sz w:val="24"/>
                <w:szCs w:val="24"/>
              </w:rPr>
              <w:t>-</w:t>
            </w:r>
            <w:r>
              <w:rPr>
                <w:rFonts w:hint="eastAsia" w:ascii="楷体" w:hAnsi="楷体" w:eastAsia="楷体"/>
                <w:bCs/>
                <w:spacing w:val="2"/>
                <w:sz w:val="24"/>
                <w:szCs w:val="24"/>
              </w:rPr>
              <w:t>有机多面体结构。申报人首次构建了两类独特的笼套笼双壳层金属</w:t>
            </w:r>
            <w:r>
              <w:rPr>
                <w:rFonts w:ascii="楷体" w:hAnsi="楷体" w:eastAsia="楷体"/>
                <w:bCs/>
                <w:spacing w:val="2"/>
                <w:sz w:val="24"/>
                <w:szCs w:val="24"/>
              </w:rPr>
              <w:t>-</w:t>
            </w:r>
            <w:r>
              <w:rPr>
                <w:rFonts w:hint="eastAsia" w:ascii="楷体" w:hAnsi="楷体" w:eastAsia="楷体"/>
                <w:bCs/>
                <w:spacing w:val="2"/>
                <w:sz w:val="24"/>
                <w:szCs w:val="24"/>
              </w:rPr>
              <w:t>有机多面体骨架材料(</w:t>
            </w:r>
            <w:r>
              <w:rPr>
                <w:rFonts w:ascii="楷体" w:hAnsi="楷体" w:eastAsia="楷体"/>
                <w:bCs/>
                <w:i/>
                <w:spacing w:val="2"/>
                <w:sz w:val="24"/>
                <w:szCs w:val="24"/>
              </w:rPr>
              <w:t>J Am Chem Soc</w:t>
            </w:r>
            <w:r>
              <w:rPr>
                <w:rFonts w:hint="eastAsia" w:ascii="楷体" w:hAnsi="楷体" w:eastAsia="楷体"/>
                <w:bCs/>
                <w:spacing w:val="2"/>
                <w:sz w:val="24"/>
                <w:szCs w:val="24"/>
              </w:rPr>
              <w:t>,</w:t>
            </w:r>
            <w:r>
              <w:rPr>
                <w:rFonts w:ascii="楷体" w:hAnsi="楷体" w:eastAsia="楷体"/>
                <w:bCs/>
                <w:spacing w:val="2"/>
                <w:sz w:val="24"/>
                <w:szCs w:val="24"/>
              </w:rPr>
              <w:t xml:space="preserve"> 2010, </w:t>
            </w:r>
            <w:r>
              <w:rPr>
                <w:rFonts w:ascii="楷体" w:hAnsi="楷体" w:eastAsia="楷体"/>
                <w:bCs/>
                <w:iCs/>
                <w:spacing w:val="2"/>
                <w:sz w:val="24"/>
                <w:szCs w:val="24"/>
              </w:rPr>
              <w:t>132</w:t>
            </w:r>
            <w:r>
              <w:rPr>
                <w:rFonts w:ascii="楷体" w:hAnsi="楷体" w:eastAsia="楷体"/>
                <w:bCs/>
                <w:spacing w:val="2"/>
                <w:sz w:val="24"/>
                <w:szCs w:val="24"/>
              </w:rPr>
              <w:t>, 17062；</w:t>
            </w:r>
            <w:r>
              <w:rPr>
                <w:rFonts w:ascii="楷体" w:hAnsi="楷体" w:eastAsia="楷体"/>
                <w:bCs/>
                <w:i/>
                <w:spacing w:val="2"/>
                <w:sz w:val="24"/>
                <w:szCs w:val="24"/>
              </w:rPr>
              <w:t>Angew Chem Int Ed</w:t>
            </w:r>
            <w:r>
              <w:rPr>
                <w:rFonts w:ascii="楷体" w:hAnsi="楷体" w:eastAsia="楷体"/>
                <w:bCs/>
                <w:spacing w:val="2"/>
                <w:sz w:val="24"/>
                <w:szCs w:val="24"/>
              </w:rPr>
              <w:t xml:space="preserve">, 2011, 50, </w:t>
            </w:r>
            <w:r>
              <w:rPr>
                <w:rFonts w:ascii="楷体" w:hAnsi="楷体" w:eastAsia="楷体"/>
                <w:bCs/>
                <w:spacing w:val="2"/>
                <w:sz w:val="24"/>
                <w:szCs w:val="24"/>
                <w:lang w:val="en"/>
              </w:rPr>
              <w:t>8034</w:t>
            </w:r>
            <w:r>
              <w:rPr>
                <w:rFonts w:hint="eastAsia" w:ascii="楷体" w:hAnsi="楷体" w:eastAsia="楷体"/>
                <w:bCs/>
                <w:spacing w:val="2"/>
                <w:sz w:val="24"/>
                <w:szCs w:val="24"/>
              </w:rPr>
              <w:t>，</w:t>
            </w:r>
            <w:r>
              <w:rPr>
                <w:rFonts w:ascii="楷体" w:hAnsi="楷体" w:eastAsia="楷体"/>
                <w:bCs/>
                <w:spacing w:val="2"/>
                <w:sz w:val="24"/>
                <w:szCs w:val="24"/>
              </w:rPr>
              <w:t>hot paper</w:t>
            </w:r>
            <w:r>
              <w:rPr>
                <w:rFonts w:hint="eastAsia" w:ascii="楷体" w:hAnsi="楷体" w:eastAsia="楷体"/>
                <w:bCs/>
                <w:spacing w:val="2"/>
                <w:sz w:val="24"/>
                <w:szCs w:val="24"/>
              </w:rPr>
              <w:t>）。这类型结构能有效地分割空旷金属</w:t>
            </w:r>
            <w:r>
              <w:rPr>
                <w:rFonts w:ascii="楷体" w:hAnsi="楷体" w:eastAsia="楷体"/>
                <w:bCs/>
                <w:spacing w:val="2"/>
                <w:sz w:val="24"/>
                <w:szCs w:val="24"/>
              </w:rPr>
              <w:t>-</w:t>
            </w:r>
            <w:r>
              <w:rPr>
                <w:rFonts w:hint="eastAsia" w:ascii="楷体" w:hAnsi="楷体" w:eastAsia="楷体"/>
                <w:bCs/>
                <w:spacing w:val="2"/>
                <w:sz w:val="24"/>
                <w:szCs w:val="24"/>
              </w:rPr>
              <w:t>有机骨架材料的大孔空间，显著提高对动力学半径较小气体（如</w:t>
            </w:r>
            <w:r>
              <w:rPr>
                <w:rFonts w:ascii="楷体" w:hAnsi="楷体" w:eastAsia="楷体"/>
                <w:bCs/>
                <w:spacing w:val="2"/>
                <w:sz w:val="24"/>
                <w:szCs w:val="24"/>
              </w:rPr>
              <w:t>CO</w:t>
            </w:r>
            <w:r>
              <w:rPr>
                <w:rFonts w:ascii="楷体" w:hAnsi="楷体" w:eastAsia="楷体"/>
                <w:bCs/>
                <w:spacing w:val="2"/>
                <w:sz w:val="24"/>
                <w:szCs w:val="24"/>
                <w:vertAlign w:val="subscript"/>
              </w:rPr>
              <w:t>2</w:t>
            </w:r>
            <w:r>
              <w:rPr>
                <w:rFonts w:hint="eastAsia" w:ascii="楷体" w:hAnsi="楷体" w:eastAsia="楷体"/>
                <w:bCs/>
                <w:spacing w:val="2"/>
                <w:sz w:val="24"/>
                <w:szCs w:val="24"/>
              </w:rPr>
              <w:t>和</w:t>
            </w:r>
            <w:r>
              <w:rPr>
                <w:rFonts w:ascii="楷体" w:hAnsi="楷体" w:eastAsia="楷体"/>
                <w:bCs/>
                <w:spacing w:val="2"/>
                <w:sz w:val="24"/>
                <w:szCs w:val="24"/>
              </w:rPr>
              <w:t>H</w:t>
            </w:r>
            <w:r>
              <w:rPr>
                <w:rFonts w:ascii="楷体" w:hAnsi="楷体" w:eastAsia="楷体"/>
                <w:bCs/>
                <w:spacing w:val="2"/>
                <w:sz w:val="24"/>
                <w:szCs w:val="24"/>
                <w:vertAlign w:val="subscript"/>
              </w:rPr>
              <w:t>2</w:t>
            </w:r>
            <w:r>
              <w:rPr>
                <w:rFonts w:hint="eastAsia" w:ascii="楷体" w:hAnsi="楷体" w:eastAsia="楷体"/>
                <w:bCs/>
                <w:spacing w:val="2"/>
                <w:sz w:val="24"/>
                <w:szCs w:val="24"/>
              </w:rPr>
              <w:t>等）的吸附存储和选择性分离能力，为金属</w:t>
            </w:r>
            <w:r>
              <w:rPr>
                <w:rFonts w:ascii="楷体" w:hAnsi="楷体" w:eastAsia="楷体"/>
                <w:bCs/>
                <w:spacing w:val="2"/>
                <w:sz w:val="24"/>
                <w:szCs w:val="24"/>
              </w:rPr>
              <w:t>-</w:t>
            </w:r>
            <w:r>
              <w:rPr>
                <w:rFonts w:hint="eastAsia" w:ascii="楷体" w:hAnsi="楷体" w:eastAsia="楷体"/>
                <w:bCs/>
                <w:spacing w:val="2"/>
                <w:sz w:val="24"/>
                <w:szCs w:val="24"/>
              </w:rPr>
              <w:t>有机孔材料在气体存储和分离方面的应用研究提供新的合成策略和研究思路。</w:t>
            </w:r>
          </w:p>
          <w:p>
            <w:pPr>
              <w:pStyle w:val="2"/>
              <w:spacing w:line="360" w:lineRule="auto"/>
              <w:ind w:firstLine="425"/>
              <w:rPr>
                <w:rFonts w:ascii="楷体" w:hAnsi="楷体" w:eastAsia="楷体"/>
                <w:spacing w:val="2"/>
                <w:sz w:val="24"/>
                <w:szCs w:val="24"/>
              </w:rPr>
            </w:pPr>
            <w:r>
              <w:rPr>
                <w:rFonts w:hint="eastAsia" w:ascii="楷体" w:hAnsi="楷体" w:eastAsia="楷体"/>
                <w:spacing w:val="2"/>
                <w:sz w:val="24"/>
                <w:szCs w:val="24"/>
              </w:rPr>
              <w:t>4）</w:t>
            </w:r>
            <w:bookmarkStart w:id="11" w:name="OLE_LINK6"/>
            <w:bookmarkStart w:id="12" w:name="OLE_LINK5"/>
            <w:r>
              <w:rPr>
                <w:rFonts w:hint="eastAsia" w:ascii="楷体" w:hAnsi="楷体" w:eastAsia="楷体"/>
                <w:spacing w:val="2"/>
                <w:sz w:val="24"/>
                <w:szCs w:val="24"/>
              </w:rPr>
              <w:t>探索新材料的合成对于促进相关学科研究的发展和新型功能材料的开发至关重要。申请人对金属</w:t>
            </w:r>
            <w:r>
              <w:rPr>
                <w:rFonts w:ascii="楷体" w:hAnsi="楷体" w:eastAsia="楷体"/>
                <w:spacing w:val="2"/>
                <w:sz w:val="24"/>
                <w:szCs w:val="24"/>
              </w:rPr>
              <w:t>-</w:t>
            </w:r>
            <w:r>
              <w:rPr>
                <w:rFonts w:hint="eastAsia" w:ascii="楷体" w:hAnsi="楷体" w:eastAsia="楷体"/>
                <w:spacing w:val="2"/>
                <w:sz w:val="24"/>
                <w:szCs w:val="24"/>
              </w:rPr>
              <w:t>咪唑有机，金属</w:t>
            </w:r>
            <w:r>
              <w:rPr>
                <w:rFonts w:ascii="楷体" w:hAnsi="楷体" w:eastAsia="楷体"/>
                <w:spacing w:val="2"/>
                <w:sz w:val="24"/>
                <w:szCs w:val="24"/>
              </w:rPr>
              <w:t>-</w:t>
            </w:r>
            <w:r>
              <w:rPr>
                <w:rFonts w:hint="eastAsia" w:ascii="楷体" w:hAnsi="楷体" w:eastAsia="楷体"/>
                <w:spacing w:val="2"/>
                <w:sz w:val="24"/>
                <w:szCs w:val="24"/>
              </w:rPr>
              <w:t>羧酸有机及硼</w:t>
            </w:r>
            <w:r>
              <w:rPr>
                <w:rFonts w:ascii="楷体" w:hAnsi="楷体" w:eastAsia="楷体"/>
                <w:spacing w:val="2"/>
                <w:sz w:val="24"/>
                <w:szCs w:val="24"/>
              </w:rPr>
              <w:t>-</w:t>
            </w:r>
            <w:r>
              <w:rPr>
                <w:rFonts w:hint="eastAsia" w:ascii="楷体" w:hAnsi="楷体" w:eastAsia="楷体"/>
                <w:spacing w:val="2"/>
                <w:sz w:val="24"/>
                <w:szCs w:val="24"/>
              </w:rPr>
              <w:t>咪唑有机骨架材料</w:t>
            </w:r>
            <w:bookmarkEnd w:id="11"/>
            <w:bookmarkEnd w:id="12"/>
            <w:r>
              <w:rPr>
                <w:rFonts w:hint="eastAsia" w:ascii="楷体" w:hAnsi="楷体" w:eastAsia="楷体"/>
                <w:spacing w:val="2"/>
                <w:sz w:val="24"/>
                <w:szCs w:val="24"/>
              </w:rPr>
              <w:t>这三类体系开展合而为一的合成研究，首次制备了系列具有显著</w:t>
            </w:r>
            <w:r>
              <w:rPr>
                <w:rFonts w:ascii="楷体" w:hAnsi="楷体" w:eastAsia="楷体"/>
                <w:spacing w:val="2"/>
                <w:sz w:val="24"/>
                <w:szCs w:val="24"/>
              </w:rPr>
              <w:t>CO</w:t>
            </w:r>
            <w:r>
              <w:rPr>
                <w:rFonts w:ascii="楷体" w:hAnsi="楷体" w:eastAsia="楷体"/>
                <w:spacing w:val="2"/>
                <w:sz w:val="24"/>
                <w:szCs w:val="24"/>
                <w:vertAlign w:val="subscript"/>
              </w:rPr>
              <w:t>2</w:t>
            </w:r>
            <w:r>
              <w:rPr>
                <w:rFonts w:hint="eastAsia" w:ascii="楷体" w:hAnsi="楷体" w:eastAsia="楷体"/>
                <w:spacing w:val="2"/>
                <w:sz w:val="24"/>
                <w:szCs w:val="24"/>
              </w:rPr>
              <w:t>吸附性能的金属羧酸硼咪唑有机骨架复合材料</w:t>
            </w:r>
            <w:r>
              <w:rPr>
                <w:rFonts w:hint="eastAsia" w:ascii="楷体" w:hAnsi="楷体" w:eastAsia="楷体"/>
                <w:bCs/>
                <w:spacing w:val="2"/>
                <w:sz w:val="24"/>
                <w:szCs w:val="24"/>
              </w:rPr>
              <w:t>(</w:t>
            </w:r>
            <w:r>
              <w:rPr>
                <w:rFonts w:ascii="楷体" w:hAnsi="楷体" w:eastAsia="楷体"/>
                <w:spacing w:val="2"/>
                <w:sz w:val="24"/>
                <w:szCs w:val="24"/>
              </w:rPr>
              <w:t>Angew Chem Int Ed. 2010, 49, 5362</w:t>
            </w:r>
            <w:r>
              <w:rPr>
                <w:rFonts w:hint="eastAsia" w:ascii="楷体" w:hAnsi="楷体" w:eastAsia="楷体"/>
                <w:spacing w:val="2"/>
                <w:sz w:val="24"/>
                <w:szCs w:val="24"/>
              </w:rPr>
              <w:t>)。此外，申请人系统地分析多样铟氧簇构筑块的结构相互演变过程，并控制相关反应条件首次将</w:t>
            </w:r>
            <w:r>
              <w:rPr>
                <w:rFonts w:ascii="楷体" w:hAnsi="楷体" w:eastAsia="楷体"/>
                <w:spacing w:val="2"/>
                <w:sz w:val="24"/>
                <w:szCs w:val="24"/>
              </w:rPr>
              <w:t>s</w:t>
            </w:r>
            <w:r>
              <w:rPr>
                <w:rFonts w:hint="eastAsia" w:ascii="楷体" w:hAnsi="楷体" w:eastAsia="楷体"/>
                <w:spacing w:val="2"/>
                <w:sz w:val="24"/>
                <w:szCs w:val="24"/>
              </w:rPr>
              <w:t>、</w:t>
            </w:r>
            <w:r>
              <w:rPr>
                <w:rFonts w:ascii="楷体" w:hAnsi="楷体" w:eastAsia="楷体"/>
                <w:spacing w:val="2"/>
                <w:sz w:val="24"/>
                <w:szCs w:val="24"/>
              </w:rPr>
              <w:t>d</w:t>
            </w:r>
            <w:r>
              <w:rPr>
                <w:rFonts w:hint="eastAsia" w:ascii="楷体" w:hAnsi="楷体" w:eastAsia="楷体"/>
                <w:spacing w:val="2"/>
                <w:sz w:val="24"/>
                <w:szCs w:val="24"/>
              </w:rPr>
              <w:t>及</w:t>
            </w:r>
            <w:r>
              <w:rPr>
                <w:rFonts w:ascii="楷体" w:hAnsi="楷体" w:eastAsia="楷体"/>
                <w:spacing w:val="2"/>
                <w:sz w:val="24"/>
                <w:szCs w:val="24"/>
              </w:rPr>
              <w:t>f</w:t>
            </w:r>
            <w:r>
              <w:rPr>
                <w:rFonts w:hint="eastAsia" w:ascii="楷体" w:hAnsi="楷体" w:eastAsia="楷体"/>
                <w:spacing w:val="2"/>
                <w:sz w:val="24"/>
                <w:szCs w:val="24"/>
              </w:rPr>
              <w:t>区的多样金属分别引人到铟</w:t>
            </w:r>
            <w:r>
              <w:rPr>
                <w:rFonts w:ascii="楷体" w:hAnsi="楷体" w:eastAsia="楷体"/>
                <w:spacing w:val="2"/>
                <w:sz w:val="24"/>
                <w:szCs w:val="24"/>
              </w:rPr>
              <w:t>-</w:t>
            </w:r>
            <w:r>
              <w:rPr>
                <w:rFonts w:hint="eastAsia" w:ascii="楷体" w:hAnsi="楷体" w:eastAsia="楷体"/>
                <w:spacing w:val="2"/>
                <w:sz w:val="24"/>
                <w:szCs w:val="24"/>
              </w:rPr>
              <w:t>有机骨架体系中构建了系列基于多样的金属价态、簇核数和簇结构的铟基异金属簇</w:t>
            </w:r>
            <w:r>
              <w:rPr>
                <w:rFonts w:ascii="楷体" w:hAnsi="楷体" w:eastAsia="楷体"/>
                <w:spacing w:val="2"/>
                <w:sz w:val="24"/>
                <w:szCs w:val="24"/>
              </w:rPr>
              <w:t>-</w:t>
            </w:r>
            <w:r>
              <w:rPr>
                <w:rFonts w:hint="eastAsia" w:ascii="楷体" w:hAnsi="楷体" w:eastAsia="楷体"/>
                <w:spacing w:val="2"/>
                <w:sz w:val="24"/>
                <w:szCs w:val="24"/>
              </w:rPr>
              <w:t>有机骨架材料</w:t>
            </w:r>
            <w:r>
              <w:rPr>
                <w:rFonts w:hint="eastAsia" w:ascii="楷体" w:hAnsi="楷体" w:eastAsia="楷体"/>
                <w:bCs/>
                <w:spacing w:val="2"/>
                <w:sz w:val="24"/>
                <w:szCs w:val="24"/>
              </w:rPr>
              <w:t>(</w:t>
            </w:r>
            <w:r>
              <w:rPr>
                <w:rFonts w:ascii="楷体" w:hAnsi="楷体" w:eastAsia="楷体"/>
                <w:bCs/>
                <w:spacing w:val="2"/>
                <w:sz w:val="24"/>
                <w:szCs w:val="24"/>
              </w:rPr>
              <w:t>J Am Chem Soc. 2012</w:t>
            </w:r>
            <w:r>
              <w:rPr>
                <w:rFonts w:ascii="楷体" w:hAnsi="楷体" w:eastAsia="楷体"/>
                <w:spacing w:val="2"/>
                <w:sz w:val="24"/>
                <w:szCs w:val="24"/>
              </w:rPr>
              <w:t xml:space="preserve">, </w:t>
            </w:r>
            <w:r>
              <w:rPr>
                <w:rFonts w:ascii="楷体" w:hAnsi="楷体" w:eastAsia="楷体"/>
                <w:iCs/>
                <w:spacing w:val="2"/>
                <w:sz w:val="24"/>
                <w:szCs w:val="24"/>
              </w:rPr>
              <w:t>134</w:t>
            </w:r>
            <w:r>
              <w:rPr>
                <w:rFonts w:ascii="楷体" w:hAnsi="楷体" w:eastAsia="楷体"/>
                <w:spacing w:val="2"/>
                <w:sz w:val="24"/>
                <w:szCs w:val="24"/>
              </w:rPr>
              <w:t>, 4517</w:t>
            </w:r>
            <w:r>
              <w:rPr>
                <w:rFonts w:hint="eastAsia" w:ascii="楷体" w:hAnsi="楷体" w:eastAsia="楷体"/>
                <w:spacing w:val="2"/>
                <w:sz w:val="24"/>
                <w:szCs w:val="24"/>
              </w:rPr>
              <w:t>；</w:t>
            </w:r>
            <w:r>
              <w:rPr>
                <w:rFonts w:ascii="楷体" w:hAnsi="楷体" w:eastAsia="楷体"/>
                <w:spacing w:val="2"/>
                <w:sz w:val="24"/>
                <w:szCs w:val="24"/>
              </w:rPr>
              <w:t xml:space="preserve">Angew Chem Int Ed, 2011, 50, </w:t>
            </w:r>
            <w:r>
              <w:rPr>
                <w:rFonts w:ascii="楷体" w:hAnsi="楷体" w:eastAsia="楷体"/>
                <w:spacing w:val="2"/>
                <w:sz w:val="24"/>
                <w:szCs w:val="24"/>
                <w:lang w:val="en"/>
              </w:rPr>
              <w:t>8858</w:t>
            </w:r>
            <w:r>
              <w:rPr>
                <w:rFonts w:hint="eastAsia" w:ascii="楷体" w:hAnsi="楷体" w:eastAsia="楷体"/>
                <w:spacing w:val="2"/>
                <w:sz w:val="24"/>
                <w:szCs w:val="24"/>
              </w:rPr>
              <w:t>)。</w:t>
            </w:r>
          </w:p>
        </w:tc>
      </w:tr>
    </w:tbl>
    <w:p>
      <w:pPr>
        <w:widowControl/>
        <w:jc w:val="left"/>
        <w:rPr>
          <w:rFonts w:ascii="宋体" w:hAnsi="宋体" w:eastAsia="黑体"/>
          <w:sz w:val="30"/>
          <w:szCs w:val="30"/>
        </w:rPr>
      </w:pPr>
      <w:r>
        <w:rPr>
          <w:rFonts w:ascii="宋体" w:hAnsi="宋体" w:eastAsia="黑体"/>
          <w:sz w:val="30"/>
          <w:szCs w:val="30"/>
        </w:rPr>
        <w:br w:type="page"/>
      </w:r>
      <w:r>
        <w:rPr>
          <w:rFonts w:hint="eastAsia" w:ascii="宋体" w:hAnsi="宋体" w:eastAsia="黑体"/>
          <w:sz w:val="30"/>
          <w:szCs w:val="30"/>
        </w:rPr>
        <w:t>八、主要科学技术成就和贡献摘要</w:t>
      </w:r>
    </w:p>
    <w:tbl>
      <w:tblPr>
        <w:tblStyle w:val="10"/>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039" w:hRule="atLeast"/>
          <w:jc w:val="center"/>
        </w:trPr>
        <w:tc>
          <w:tcPr>
            <w:tcW w:w="9038" w:type="dxa"/>
            <w:tcBorders>
              <w:top w:val="single" w:color="auto" w:sz="4" w:space="0"/>
              <w:left w:val="single" w:color="auto" w:sz="4" w:space="0"/>
              <w:bottom w:val="single" w:color="auto" w:sz="4" w:space="0"/>
              <w:right w:val="single" w:color="auto" w:sz="4" w:space="0"/>
            </w:tcBorders>
          </w:tcPr>
          <w:p>
            <w:pPr>
              <w:spacing w:line="400" w:lineRule="exact"/>
              <w:ind w:firstLine="420" w:firstLineChars="200"/>
              <w:rPr>
                <w:rFonts w:ascii="宋体" w:hAnsi="宋体"/>
                <w:spacing w:val="2"/>
              </w:rPr>
            </w:pPr>
            <w:r>
              <w:rPr>
                <w:rFonts w:hint="eastAsia" w:ascii="宋体" w:hAnsi="宋体"/>
              </w:rPr>
              <w:t>本栏目是“主要科学技术成就和贡献”一栏内容在科学技术创新方面的归纳与提炼，应简明、扼要表述以被推荐人为主完成的科学发现、技术发明、技术创新或技术推广情况。</w:t>
            </w:r>
            <w:r>
              <w:rPr>
                <w:rFonts w:hint="eastAsia" w:ascii="宋体" w:hAnsi="宋体"/>
                <w:spacing w:val="2"/>
              </w:rPr>
              <w:t>限500字以内。</w:t>
            </w:r>
          </w:p>
          <w:p>
            <w:pPr>
              <w:spacing w:line="400" w:lineRule="exact"/>
              <w:ind w:firstLine="560" w:firstLineChars="200"/>
              <w:rPr>
                <w:rFonts w:ascii="宋体" w:hAnsi="宋体" w:eastAsia="仿宋_GB2312"/>
                <w:sz w:val="28"/>
              </w:rPr>
            </w:pPr>
          </w:p>
          <w:p>
            <w:pPr>
              <w:snapToGrid w:val="0"/>
              <w:spacing w:line="360" w:lineRule="auto"/>
              <w:ind w:firstLine="480" w:firstLineChars="200"/>
              <w:rPr>
                <w:rFonts w:ascii="楷体" w:hAnsi="楷体" w:eastAsia="楷体"/>
                <w:sz w:val="24"/>
              </w:rPr>
            </w:pPr>
            <w:r>
              <w:rPr>
                <w:rFonts w:hint="eastAsia" w:ascii="楷体" w:hAnsi="楷体" w:eastAsia="楷体"/>
                <w:sz w:val="24"/>
              </w:rPr>
              <w:t>申请人主要从事多金属氧酸（简称多酸）和金属有机框架材料的合成与结构研究，主要取得的创新性成果包括1）创新性的探索了缺位多酸在水热下作为结构导向剂与3d金属反应的可行性和独特性， 为异金属金属取代多酸的合成提供新的策略；2）不仅制备了大量新颖的，特别是系列具有纪录性高核异金属多酸材料，而且首次实现了取代多钨酸和金属有机框架材料间的合成体系研究的交叉，获得了从零维到三维的新型多酸有机结构材料，为相关体系研究提供新的学科生长点；3）开展了独具特色的金属-有机骨架材料的异金属化研究，构建了一大系列结构新颖独特，性能可调的复合金属-有机骨架材料，促进了相关研究体系的发展。相关研究已发表SCI论文170余篇，被引7500余次。其中，申请人以第一作者或通讯作者在化学知名期刊Angew Chem Int Ed（8篇），J Am Chem Soc（6篇）和Chem Soc Rev（1篇）三个杂志上发表论文15篇。曾获2016年国家自然科学二等奖(排名第二)、2016年福建省“运盛青年科技奖”、2011 年福建省科学技术奖自然科学一等奖(排名第三)、2011 年“全国优秀博士学位论文提名奖”、2010 年“中科院优秀博士学位论文”等奖项。入选2012年福建省“闽江学者”、2015年福建省“百人计划”及国家第五批“青年千人”计划。</w:t>
            </w:r>
          </w:p>
          <w:p>
            <w:pPr>
              <w:snapToGrid w:val="0"/>
              <w:spacing w:line="360" w:lineRule="auto"/>
              <w:ind w:firstLine="480" w:firstLineChars="200"/>
              <w:rPr>
                <w:rFonts w:ascii="楷体" w:hAnsi="楷体" w:eastAsia="楷体"/>
                <w:sz w:val="24"/>
              </w:rPr>
            </w:pPr>
          </w:p>
          <w:p>
            <w:pPr>
              <w:spacing w:line="400" w:lineRule="exact"/>
              <w:ind w:firstLine="560" w:firstLineChars="200"/>
              <w:rPr>
                <w:rFonts w:ascii="宋体" w:hAnsi="宋体" w:eastAsia="仿宋_GB2312"/>
                <w:sz w:val="28"/>
              </w:rPr>
            </w:pPr>
          </w:p>
          <w:p>
            <w:pPr>
              <w:spacing w:line="400" w:lineRule="exact"/>
              <w:ind w:firstLine="560" w:firstLineChars="200"/>
              <w:rPr>
                <w:rFonts w:ascii="宋体" w:hAnsi="宋体" w:eastAsia="仿宋_GB2312"/>
                <w:sz w:val="28"/>
              </w:rPr>
            </w:pPr>
          </w:p>
        </w:tc>
      </w:tr>
    </w:tbl>
    <w:p>
      <w:pPr>
        <w:widowControl/>
        <w:jc w:val="left"/>
        <w:rPr>
          <w:rFonts w:ascii="宋体" w:hAnsi="宋体" w:eastAsia="黑体"/>
          <w:sz w:val="30"/>
          <w:szCs w:val="30"/>
        </w:rPr>
      </w:pPr>
      <w:r>
        <w:rPr>
          <w:rFonts w:ascii="宋体" w:hAnsi="宋体" w:eastAsia="黑体"/>
          <w:sz w:val="30"/>
          <w:szCs w:val="30"/>
        </w:rPr>
        <w:br w:type="page"/>
      </w:r>
      <w:r>
        <w:rPr>
          <w:rFonts w:hint="eastAsia" w:ascii="宋体" w:hAnsi="宋体" w:eastAsia="黑体"/>
          <w:sz w:val="30"/>
          <w:szCs w:val="30"/>
        </w:rPr>
        <w:t>九、发表论文、专著的情况</w:t>
      </w:r>
    </w:p>
    <w:tbl>
      <w:tblPr>
        <w:tblStyle w:val="10"/>
        <w:tblW w:w="9038"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38"/>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039" w:hRule="atLeast"/>
          <w:jc w:val="center"/>
        </w:trPr>
        <w:tc>
          <w:tcPr>
            <w:tcW w:w="9038" w:type="dxa"/>
            <w:tcBorders>
              <w:top w:val="single" w:color="auto" w:sz="4" w:space="0"/>
              <w:left w:val="single" w:color="auto" w:sz="4" w:space="0"/>
              <w:bottom w:val="single" w:color="auto" w:sz="4" w:space="0"/>
              <w:right w:val="single" w:color="auto" w:sz="4" w:space="0"/>
            </w:tcBorders>
          </w:tcPr>
          <w:p>
            <w:pPr>
              <w:spacing w:line="400" w:lineRule="exact"/>
              <w:ind w:firstLine="420" w:firstLineChars="200"/>
              <w:rPr>
                <w:rFonts w:ascii="宋体" w:hAnsi="宋体"/>
              </w:rPr>
            </w:pPr>
            <w:r>
              <w:rPr>
                <w:rFonts w:hint="eastAsia" w:ascii="宋体" w:hAnsi="宋体"/>
              </w:rPr>
              <w:t>论文须注明论文名称、论文作者、发表刊物名称、发表日期、刊物影响因子、他引次数等信息；专著须注明专著名称、出版单位名称、出版年份等信息。</w:t>
            </w:r>
          </w:p>
          <w:p>
            <w:pPr>
              <w:spacing w:line="400" w:lineRule="exact"/>
              <w:rPr>
                <w:rFonts w:ascii="楷体" w:hAnsi="楷体" w:eastAsia="楷体"/>
                <w:sz w:val="24"/>
              </w:rPr>
            </w:pPr>
            <w:r>
              <w:rPr>
                <w:rFonts w:hint="eastAsia" w:ascii="楷体" w:hAnsi="楷体" w:eastAsia="楷体"/>
                <w:sz w:val="24"/>
              </w:rPr>
              <w:t>根据要求仅提供</w:t>
            </w:r>
            <w:r>
              <w:rPr>
                <w:rFonts w:ascii="楷体" w:hAnsi="楷体" w:eastAsia="楷体"/>
                <w:sz w:val="24"/>
              </w:rPr>
              <w:t>论文限3篇、专著1本</w:t>
            </w:r>
          </w:p>
          <w:p>
            <w:pPr>
              <w:rPr>
                <w:rFonts w:ascii="楷体" w:hAnsi="楷体" w:eastAsia="楷体"/>
                <w:sz w:val="24"/>
              </w:rPr>
            </w:pPr>
            <w:r>
              <w:rPr>
                <w:rFonts w:hint="eastAsia" w:ascii="楷体" w:hAnsi="楷体" w:eastAsia="楷体"/>
                <w:sz w:val="24"/>
              </w:rPr>
              <w:t>三篇论文</w:t>
            </w:r>
          </w:p>
          <w:p>
            <w:pPr>
              <w:pStyle w:val="12"/>
              <w:numPr>
                <w:ilvl w:val="0"/>
                <w:numId w:val="2"/>
              </w:numPr>
              <w:ind w:firstLineChars="0"/>
              <w:rPr>
                <w:rFonts w:ascii="楷体" w:hAnsi="楷体" w:eastAsia="楷体"/>
                <w:sz w:val="24"/>
              </w:rPr>
            </w:pPr>
          </w:p>
          <w:p>
            <w:pPr>
              <w:rPr>
                <w:rFonts w:ascii="楷体" w:hAnsi="楷体" w:eastAsia="楷体"/>
                <w:sz w:val="24"/>
              </w:rPr>
            </w:pPr>
            <w:bookmarkStart w:id="13" w:name="OLE_LINK11"/>
            <w:r>
              <w:rPr>
                <w:rFonts w:hint="eastAsia" w:ascii="楷体" w:hAnsi="楷体" w:eastAsia="楷体"/>
                <w:sz w:val="24"/>
              </w:rPr>
              <w:t>论文名称：</w:t>
            </w:r>
            <w:r>
              <w:rPr>
                <w:rFonts w:ascii="楷体" w:hAnsi="楷体" w:eastAsia="楷体"/>
                <w:sz w:val="24"/>
              </w:rPr>
              <w:t>Designed Synthesis of POM–Organic Frameworks from {Ni6PW9}</w:t>
            </w:r>
            <w:r>
              <w:rPr>
                <w:rFonts w:hint="eastAsia" w:ascii="楷体" w:hAnsi="楷体" w:eastAsia="楷体"/>
                <w:sz w:val="24"/>
              </w:rPr>
              <w:t xml:space="preserve"> </w:t>
            </w:r>
            <w:r>
              <w:rPr>
                <w:rFonts w:ascii="楷体" w:hAnsi="楷体" w:eastAsia="楷体"/>
                <w:sz w:val="24"/>
              </w:rPr>
              <w:t>Building Blocks under Hydrothermal Conditions</w:t>
            </w:r>
          </w:p>
          <w:p>
            <w:pPr>
              <w:rPr>
                <w:rFonts w:ascii="楷体" w:hAnsi="楷体" w:eastAsia="楷体"/>
                <w:sz w:val="24"/>
              </w:rPr>
            </w:pPr>
            <w:r>
              <w:rPr>
                <w:rFonts w:hint="eastAsia" w:ascii="楷体" w:hAnsi="楷体" w:eastAsia="楷体"/>
                <w:sz w:val="24"/>
              </w:rPr>
              <w:t>作者：</w:t>
            </w:r>
            <w:r>
              <w:rPr>
                <w:rFonts w:ascii="楷体" w:hAnsi="楷体" w:eastAsia="楷体"/>
                <w:sz w:val="24"/>
              </w:rPr>
              <w:t>Shou-Tian Zheng, Jie Zhang, Guo-Yu Yang</w:t>
            </w:r>
            <w:r>
              <w:rPr>
                <w:rFonts w:hint="eastAsia" w:ascii="楷体" w:hAnsi="楷体" w:eastAsia="楷体"/>
                <w:sz w:val="24"/>
              </w:rPr>
              <w:t>*</w:t>
            </w:r>
          </w:p>
          <w:p>
            <w:pPr>
              <w:rPr>
                <w:rFonts w:ascii="楷体" w:hAnsi="楷体" w:eastAsia="楷体"/>
                <w:sz w:val="24"/>
              </w:rPr>
            </w:pPr>
            <w:r>
              <w:rPr>
                <w:rFonts w:hint="eastAsia" w:ascii="楷体" w:hAnsi="楷体" w:eastAsia="楷体"/>
                <w:sz w:val="24"/>
              </w:rPr>
              <w:t>刊物名称：</w:t>
            </w:r>
            <w:bookmarkStart w:id="14" w:name="OLE_LINK12"/>
            <w:r>
              <w:rPr>
                <w:rFonts w:ascii="楷体" w:hAnsi="楷体" w:eastAsia="楷体"/>
                <w:sz w:val="24"/>
              </w:rPr>
              <w:t>Angew. Chem. Int. Ed</w:t>
            </w:r>
            <w:bookmarkEnd w:id="14"/>
            <w:r>
              <w:rPr>
                <w:rFonts w:ascii="楷体" w:hAnsi="楷体" w:eastAsia="楷体"/>
                <w:sz w:val="24"/>
              </w:rPr>
              <w:t xml:space="preserve">. 2008, 47, 3909 </w:t>
            </w:r>
            <w:r>
              <w:rPr>
                <w:rFonts w:hint="eastAsia" w:ascii="楷体" w:hAnsi="楷体" w:eastAsia="楷体"/>
                <w:sz w:val="24"/>
              </w:rPr>
              <w:t>–</w:t>
            </w:r>
            <w:r>
              <w:rPr>
                <w:rFonts w:ascii="楷体" w:hAnsi="楷体" w:eastAsia="楷体"/>
                <w:sz w:val="24"/>
              </w:rPr>
              <w:t>3913</w:t>
            </w:r>
          </w:p>
          <w:p>
            <w:pPr>
              <w:rPr>
                <w:rFonts w:ascii="楷体" w:hAnsi="楷体" w:eastAsia="楷体"/>
                <w:sz w:val="24"/>
              </w:rPr>
            </w:pPr>
            <w:r>
              <w:rPr>
                <w:rFonts w:hint="eastAsia" w:ascii="楷体" w:hAnsi="楷体" w:eastAsia="楷体"/>
                <w:sz w:val="24"/>
              </w:rPr>
              <w:t>发表日期：</w:t>
            </w:r>
            <w:bookmarkEnd w:id="13"/>
            <w:r>
              <w:rPr>
                <w:rFonts w:ascii="楷体" w:hAnsi="楷体" w:eastAsia="楷体"/>
                <w:sz w:val="24"/>
              </w:rPr>
              <w:t xml:space="preserve"> 2008</w:t>
            </w:r>
            <w:r>
              <w:rPr>
                <w:rFonts w:hint="eastAsia" w:ascii="楷体" w:hAnsi="楷体" w:eastAsia="楷体"/>
                <w:sz w:val="24"/>
              </w:rPr>
              <w:t>年3月20日</w:t>
            </w:r>
          </w:p>
          <w:p>
            <w:pPr>
              <w:rPr>
                <w:rFonts w:ascii="楷体" w:hAnsi="楷体" w:eastAsia="楷体"/>
                <w:sz w:val="24"/>
              </w:rPr>
            </w:pPr>
            <w:r>
              <w:rPr>
                <w:rFonts w:hint="eastAsia" w:ascii="楷体" w:hAnsi="楷体" w:eastAsia="楷体"/>
                <w:sz w:val="24"/>
              </w:rPr>
              <w:t>影响因子：11.994</w:t>
            </w:r>
          </w:p>
          <w:p>
            <w:pPr>
              <w:rPr>
                <w:rFonts w:ascii="楷体" w:hAnsi="楷体" w:eastAsia="楷体"/>
                <w:sz w:val="24"/>
              </w:rPr>
            </w:pPr>
            <w:r>
              <w:rPr>
                <w:rFonts w:hint="eastAsia" w:ascii="楷体" w:hAnsi="楷体" w:eastAsia="楷体"/>
                <w:sz w:val="24"/>
              </w:rPr>
              <w:t>他引次数：300</w:t>
            </w:r>
          </w:p>
          <w:p>
            <w:pPr>
              <w:pStyle w:val="12"/>
              <w:numPr>
                <w:ilvl w:val="0"/>
                <w:numId w:val="2"/>
              </w:numPr>
              <w:ind w:firstLineChars="0"/>
              <w:rPr>
                <w:rFonts w:ascii="楷体" w:hAnsi="楷体" w:eastAsia="楷体"/>
                <w:sz w:val="24"/>
              </w:rPr>
            </w:pPr>
          </w:p>
          <w:p>
            <w:pPr>
              <w:rPr>
                <w:rFonts w:ascii="楷体" w:hAnsi="楷体" w:eastAsia="楷体"/>
                <w:sz w:val="24"/>
              </w:rPr>
            </w:pPr>
            <w:r>
              <w:rPr>
                <w:rFonts w:hint="eastAsia" w:ascii="楷体" w:hAnsi="楷体" w:eastAsia="楷体"/>
                <w:sz w:val="24"/>
              </w:rPr>
              <w:t>论文名称：</w:t>
            </w:r>
            <w:r>
              <w:rPr>
                <w:rFonts w:ascii="楷体" w:hAnsi="楷体" w:eastAsia="楷体"/>
                <w:sz w:val="24"/>
              </w:rPr>
              <w:t>Giant Hollow Heterometallic Polyoxoniobates with Sodalite</w:t>
            </w:r>
            <w:r>
              <w:rPr>
                <w:rFonts w:hint="eastAsia" w:ascii="楷体" w:hAnsi="楷体" w:eastAsia="楷体"/>
                <w:sz w:val="24"/>
              </w:rPr>
              <w:t>-</w:t>
            </w:r>
            <w:r>
              <w:rPr>
                <w:rFonts w:ascii="楷体" w:hAnsi="楷体" w:eastAsia="楷体"/>
                <w:sz w:val="24"/>
              </w:rPr>
              <w:t>Type</w:t>
            </w:r>
          </w:p>
          <w:p>
            <w:pPr>
              <w:rPr>
                <w:rFonts w:ascii="楷体" w:hAnsi="楷体" w:eastAsia="楷体"/>
                <w:sz w:val="24"/>
              </w:rPr>
            </w:pPr>
            <w:r>
              <w:rPr>
                <w:rFonts w:ascii="楷体" w:hAnsi="楷体" w:eastAsia="楷体"/>
                <w:sz w:val="24"/>
              </w:rPr>
              <w:t>Lanthanide</w:t>
            </w:r>
            <w:r>
              <w:rPr>
                <w:rFonts w:hint="eastAsia" w:ascii="楷体" w:hAnsi="楷体" w:eastAsia="楷体"/>
                <w:sz w:val="24"/>
              </w:rPr>
              <w:t>-</w:t>
            </w:r>
            <w:r>
              <w:rPr>
                <w:rFonts w:ascii="楷体" w:hAnsi="楷体" w:eastAsia="楷体"/>
                <w:sz w:val="24"/>
              </w:rPr>
              <w:t>Tungsten</w:t>
            </w:r>
            <w:r>
              <w:rPr>
                <w:rFonts w:hint="eastAsia" w:ascii="楷体" w:hAnsi="楷体" w:eastAsia="楷体"/>
                <w:sz w:val="24"/>
              </w:rPr>
              <w:t>-</w:t>
            </w:r>
            <w:r>
              <w:rPr>
                <w:rFonts w:ascii="楷体" w:hAnsi="楷体" w:eastAsia="楷体"/>
                <w:sz w:val="24"/>
              </w:rPr>
              <w:t>Oxide Cages: Discrete Nanoclusters and</w:t>
            </w:r>
            <w:r>
              <w:rPr>
                <w:rFonts w:hint="eastAsia" w:ascii="楷体" w:hAnsi="楷体" w:eastAsia="楷体"/>
                <w:sz w:val="24"/>
              </w:rPr>
              <w:t xml:space="preserve"> </w:t>
            </w:r>
            <w:r>
              <w:rPr>
                <w:rFonts w:ascii="楷体" w:hAnsi="楷体" w:eastAsia="楷体"/>
                <w:sz w:val="24"/>
              </w:rPr>
              <w:t>Extended Frameworks</w:t>
            </w:r>
          </w:p>
          <w:p>
            <w:pPr>
              <w:rPr>
                <w:rFonts w:ascii="楷体" w:hAnsi="楷体" w:eastAsia="楷体"/>
                <w:sz w:val="24"/>
              </w:rPr>
            </w:pPr>
            <w:r>
              <w:rPr>
                <w:rFonts w:hint="eastAsia" w:ascii="楷体" w:hAnsi="楷体" w:eastAsia="楷体"/>
                <w:sz w:val="24"/>
              </w:rPr>
              <w:t>作者：</w:t>
            </w:r>
            <w:r>
              <w:rPr>
                <w:rFonts w:ascii="楷体" w:hAnsi="楷体" w:eastAsia="楷体"/>
                <w:sz w:val="24"/>
              </w:rPr>
              <w:t>Lu Jin, Xin-Xiong Li, Yan-Jie Qi, Ping-Ping Niu, Shou-Tian Zheng*</w:t>
            </w:r>
          </w:p>
          <w:p>
            <w:pPr>
              <w:rPr>
                <w:rFonts w:ascii="楷体" w:hAnsi="楷体" w:eastAsia="楷体"/>
                <w:sz w:val="24"/>
              </w:rPr>
            </w:pPr>
            <w:r>
              <w:rPr>
                <w:rFonts w:hint="eastAsia" w:ascii="楷体" w:hAnsi="楷体" w:eastAsia="楷体"/>
                <w:sz w:val="24"/>
              </w:rPr>
              <w:t>刊物名称：</w:t>
            </w:r>
            <w:r>
              <w:rPr>
                <w:rFonts w:ascii="楷体" w:hAnsi="楷体" w:eastAsia="楷体"/>
                <w:sz w:val="24"/>
              </w:rPr>
              <w:t>Angew. Chem. Int. Ed. 2016, 55, 13793 –13797</w:t>
            </w:r>
          </w:p>
          <w:p>
            <w:pPr>
              <w:rPr>
                <w:rFonts w:ascii="楷体" w:hAnsi="楷体" w:eastAsia="楷体"/>
                <w:sz w:val="24"/>
              </w:rPr>
            </w:pPr>
            <w:r>
              <w:rPr>
                <w:rFonts w:hint="eastAsia" w:ascii="楷体" w:hAnsi="楷体" w:eastAsia="楷体"/>
                <w:sz w:val="24"/>
              </w:rPr>
              <w:t>发表日期：2016年9月28日</w:t>
            </w:r>
          </w:p>
          <w:p>
            <w:pPr>
              <w:rPr>
                <w:rFonts w:ascii="楷体" w:hAnsi="楷体" w:eastAsia="楷体"/>
                <w:sz w:val="24"/>
              </w:rPr>
            </w:pPr>
            <w:r>
              <w:rPr>
                <w:rFonts w:hint="eastAsia" w:ascii="楷体" w:hAnsi="楷体" w:eastAsia="楷体"/>
                <w:sz w:val="24"/>
              </w:rPr>
              <w:t>影响因子：11.994</w:t>
            </w:r>
          </w:p>
          <w:p>
            <w:pPr>
              <w:rPr>
                <w:rFonts w:ascii="楷体" w:hAnsi="楷体" w:eastAsia="楷体"/>
                <w:sz w:val="24"/>
              </w:rPr>
            </w:pPr>
            <w:r>
              <w:rPr>
                <w:rFonts w:hint="eastAsia" w:ascii="楷体" w:hAnsi="楷体" w:eastAsia="楷体"/>
                <w:sz w:val="24"/>
              </w:rPr>
              <w:t>他引次数：9</w:t>
            </w:r>
          </w:p>
          <w:p>
            <w:pPr>
              <w:pStyle w:val="12"/>
              <w:numPr>
                <w:ilvl w:val="0"/>
                <w:numId w:val="2"/>
              </w:numPr>
              <w:ind w:firstLineChars="0"/>
              <w:rPr>
                <w:rFonts w:ascii="楷体" w:hAnsi="楷体" w:eastAsia="楷体"/>
                <w:sz w:val="24"/>
              </w:rPr>
            </w:pPr>
          </w:p>
          <w:p>
            <w:pPr>
              <w:rPr>
                <w:rFonts w:ascii="楷体" w:hAnsi="楷体" w:eastAsia="楷体"/>
                <w:sz w:val="24"/>
              </w:rPr>
            </w:pPr>
            <w:r>
              <w:rPr>
                <w:rFonts w:hint="eastAsia" w:ascii="楷体" w:hAnsi="楷体" w:eastAsia="楷体"/>
                <w:sz w:val="24"/>
              </w:rPr>
              <w:t>论文名称：Four-Shell Polyoxometalates Featuring High-Nuclearity Ln(26) Clusters: Structural Transformations of Nanoclusters into Frameworks Triggered by Transition-Metal Ions</w:t>
            </w:r>
          </w:p>
          <w:p>
            <w:pPr>
              <w:rPr>
                <w:rFonts w:ascii="楷体" w:hAnsi="楷体" w:eastAsia="楷体"/>
                <w:sz w:val="24"/>
              </w:rPr>
            </w:pPr>
            <w:r>
              <w:rPr>
                <w:rFonts w:hint="eastAsia" w:ascii="楷体" w:hAnsi="楷体" w:eastAsia="楷体"/>
                <w:sz w:val="24"/>
              </w:rPr>
              <w:t>作者：</w:t>
            </w:r>
            <w:r>
              <w:rPr>
                <w:rFonts w:ascii="楷体" w:hAnsi="楷体" w:eastAsia="楷体"/>
                <w:sz w:val="24"/>
              </w:rPr>
              <w:t>Zhong Li, Xin-Xiong Li, Tao Yang, Zhen-Wen Cai, Shou-Tian Zheng*</w:t>
            </w:r>
          </w:p>
          <w:p>
            <w:pPr>
              <w:rPr>
                <w:rFonts w:ascii="楷体" w:hAnsi="楷体" w:eastAsia="楷体"/>
                <w:sz w:val="24"/>
              </w:rPr>
            </w:pPr>
            <w:r>
              <w:rPr>
                <w:rFonts w:hint="eastAsia" w:ascii="楷体" w:hAnsi="楷体" w:eastAsia="楷体"/>
                <w:sz w:val="24"/>
              </w:rPr>
              <w:t>刊物名称：</w:t>
            </w:r>
            <w:r>
              <w:rPr>
                <w:rFonts w:ascii="楷体" w:hAnsi="楷体" w:eastAsia="楷体"/>
                <w:sz w:val="24"/>
              </w:rPr>
              <w:t xml:space="preserve">Angew. Chem. Int. Ed. 2017, 56, 2664 </w:t>
            </w:r>
            <w:r>
              <w:rPr>
                <w:rFonts w:hint="eastAsia" w:ascii="楷体" w:hAnsi="楷体" w:eastAsia="楷体"/>
                <w:sz w:val="24"/>
              </w:rPr>
              <w:t>–</w:t>
            </w:r>
            <w:r>
              <w:rPr>
                <w:rFonts w:ascii="楷体" w:hAnsi="楷体" w:eastAsia="楷体"/>
                <w:sz w:val="24"/>
              </w:rPr>
              <w:t>2669</w:t>
            </w:r>
          </w:p>
          <w:p>
            <w:pPr>
              <w:rPr>
                <w:rFonts w:ascii="楷体" w:hAnsi="楷体" w:eastAsia="楷体"/>
                <w:sz w:val="24"/>
              </w:rPr>
            </w:pPr>
            <w:r>
              <w:rPr>
                <w:rFonts w:hint="eastAsia" w:ascii="楷体" w:hAnsi="楷体" w:eastAsia="楷体"/>
                <w:sz w:val="24"/>
              </w:rPr>
              <w:t>发表日期：2017年1月27日</w:t>
            </w:r>
          </w:p>
          <w:p>
            <w:pPr>
              <w:rPr>
                <w:rFonts w:ascii="楷体" w:hAnsi="楷体" w:eastAsia="楷体"/>
                <w:sz w:val="24"/>
              </w:rPr>
            </w:pPr>
            <w:r>
              <w:rPr>
                <w:rFonts w:hint="eastAsia" w:ascii="楷体" w:hAnsi="楷体" w:eastAsia="楷体"/>
                <w:sz w:val="24"/>
              </w:rPr>
              <w:t>影响因子：11.994</w:t>
            </w:r>
          </w:p>
          <w:p>
            <w:pPr>
              <w:rPr>
                <w:rFonts w:ascii="楷体" w:hAnsi="楷体" w:eastAsia="楷体"/>
                <w:sz w:val="24"/>
              </w:rPr>
            </w:pPr>
            <w:r>
              <w:rPr>
                <w:rFonts w:hint="eastAsia" w:ascii="楷体" w:hAnsi="楷体" w:eastAsia="楷体"/>
                <w:sz w:val="24"/>
              </w:rPr>
              <w:t>他引次数：3</w:t>
            </w:r>
          </w:p>
          <w:p>
            <w:pPr>
              <w:rPr>
                <w:rFonts w:ascii="楷体" w:hAnsi="楷体" w:eastAsia="楷体"/>
                <w:sz w:val="24"/>
              </w:rPr>
            </w:pPr>
          </w:p>
          <w:p>
            <w:pPr>
              <w:rPr>
                <w:rFonts w:ascii="楷体" w:hAnsi="楷体" w:eastAsia="楷体"/>
                <w:sz w:val="24"/>
              </w:rPr>
            </w:pPr>
            <w:r>
              <w:rPr>
                <w:rFonts w:hint="eastAsia" w:ascii="楷体" w:hAnsi="楷体" w:eastAsia="楷体"/>
                <w:sz w:val="24"/>
              </w:rPr>
              <w:t>专著</w:t>
            </w:r>
          </w:p>
          <w:p>
            <w:pPr>
              <w:rPr>
                <w:rFonts w:ascii="楷体" w:hAnsi="楷体" w:eastAsia="楷体"/>
                <w:sz w:val="24"/>
              </w:rPr>
            </w:pPr>
            <w:r>
              <w:rPr>
                <w:rFonts w:hint="eastAsia" w:ascii="楷体" w:hAnsi="楷体" w:eastAsia="楷体"/>
                <w:sz w:val="24"/>
              </w:rPr>
              <w:t>专著名称：《氧基簇合物化学》中的第一、第十章</w:t>
            </w:r>
          </w:p>
          <w:p>
            <w:pPr>
              <w:rPr>
                <w:rFonts w:ascii="楷体" w:hAnsi="楷体" w:eastAsia="楷体"/>
                <w:sz w:val="24"/>
              </w:rPr>
            </w:pPr>
            <w:r>
              <w:rPr>
                <w:rFonts w:hint="eastAsia" w:ascii="楷体" w:hAnsi="楷体" w:eastAsia="楷体"/>
                <w:sz w:val="24"/>
              </w:rPr>
              <w:t>出版单位：中国科学出版社出版</w:t>
            </w:r>
          </w:p>
          <w:p>
            <w:pPr>
              <w:rPr>
                <w:rFonts w:ascii="楷体" w:hAnsi="楷体" w:eastAsia="楷体"/>
                <w:sz w:val="24"/>
              </w:rPr>
            </w:pPr>
            <w:r>
              <w:rPr>
                <w:rFonts w:hint="eastAsia" w:ascii="楷体" w:hAnsi="楷体" w:eastAsia="楷体"/>
                <w:sz w:val="24"/>
              </w:rPr>
              <w:t>出版年份：2012年6月</w:t>
            </w:r>
          </w:p>
        </w:tc>
      </w:tr>
    </w:tbl>
    <w:p>
      <w:pPr>
        <w:snapToGrid w:val="0"/>
        <w:spacing w:before="156" w:beforeLines="50" w:after="468" w:afterLines="150" w:line="600" w:lineRule="exact"/>
        <w:outlineLvl w:val="0"/>
        <w:rPr>
          <w:rFonts w:ascii="宋体" w:hAnsi="宋体"/>
          <w:szCs w:val="21"/>
        </w:rPr>
      </w:pPr>
      <w:r>
        <w:rPr>
          <w:rFonts w:ascii="宋体" w:hAnsi="宋体" w:eastAsia="黑体"/>
          <w:sz w:val="30"/>
          <w:szCs w:val="30"/>
        </w:rPr>
        <w:br w:type="page"/>
      </w:r>
      <w:bookmarkStart w:id="15" w:name="_GoBack"/>
      <w:bookmarkEnd w:id="15"/>
    </w:p>
    <w:p>
      <w:pPr>
        <w:ind w:left="634" w:leftChars="220" w:hanging="172" w:hangingChars="82"/>
        <w:rPr>
          <w:rFonts w:ascii="宋体" w:hAnsi="宋体"/>
          <w:szCs w:val="21"/>
        </w:rPr>
      </w:pPr>
    </w:p>
    <w:p>
      <w:pPr>
        <w:ind w:left="634" w:leftChars="220" w:hanging="172" w:hangingChars="82"/>
        <w:rPr>
          <w:rFonts w:ascii="宋体" w:hAnsi="宋体"/>
          <w:szCs w:val="21"/>
        </w:rPr>
      </w:pPr>
    </w:p>
    <w:p>
      <w:pPr>
        <w:ind w:left="634" w:leftChars="220" w:hanging="172" w:hangingChars="82"/>
        <w:rPr>
          <w:rFonts w:ascii="宋体" w:hAnsi="宋体"/>
          <w:szCs w:val="21"/>
        </w:rPr>
      </w:pPr>
    </w:p>
    <w:p>
      <w:pPr>
        <w:ind w:left="634" w:leftChars="220" w:hanging="172" w:hangingChars="82"/>
        <w:rPr>
          <w:rFonts w:ascii="宋体" w:hAnsi="宋体"/>
          <w:szCs w:val="21"/>
        </w:rPr>
      </w:pPr>
    </w:p>
    <w:p>
      <w:pPr>
        <w:ind w:left="634" w:leftChars="220" w:hanging="172" w:hangingChars="82"/>
        <w:rPr>
          <w:rFonts w:ascii="宋体" w:hAnsi="宋体"/>
          <w:szCs w:val="21"/>
        </w:rPr>
      </w:pPr>
    </w:p>
    <w:p>
      <w:pPr>
        <w:ind w:left="634" w:leftChars="220" w:hanging="172" w:hangingChars="82"/>
        <w:rPr>
          <w:rFonts w:ascii="宋体" w:hAnsi="宋体"/>
          <w:szCs w:val="21"/>
        </w:rPr>
      </w:pPr>
    </w:p>
    <w:p>
      <w:pPr>
        <w:ind w:left="634" w:leftChars="220" w:hanging="172" w:hangingChars="82"/>
        <w:rPr>
          <w:rFonts w:ascii="宋体" w:hAnsi="宋体"/>
          <w:szCs w:val="21"/>
        </w:rPr>
      </w:pPr>
    </w:p>
    <w:p>
      <w:pPr>
        <w:ind w:left="634" w:leftChars="220" w:hanging="172" w:hangingChars="82"/>
        <w:rPr>
          <w:rFonts w:ascii="宋体" w:hAnsi="宋体"/>
          <w:szCs w:val="21"/>
        </w:rPr>
      </w:pPr>
    </w:p>
    <w:p>
      <w:pPr>
        <w:spacing w:line="20" w:lineRule="exact"/>
        <w:ind w:right="840" w:rightChars="400" w:firstLine="640" w:firstLineChars="200"/>
        <w:jc w:val="right"/>
        <w:rPr>
          <w:rFonts w:ascii="宋体" w:hAnsi="宋体"/>
          <w:color w:val="000000"/>
          <w:sz w:val="32"/>
          <w:szCs w:val="32"/>
        </w:rPr>
      </w:pPr>
      <w:r>
        <w:rPr>
          <w:rFonts w:ascii="宋体" w:hAnsi="宋体"/>
          <w:color w:val="000000"/>
          <w:sz w:val="32"/>
          <w:szCs w:val="32"/>
        </w:rPr>
        <w:t xml:space="preserve"> </w:t>
      </w:r>
    </w:p>
    <w:p>
      <w:pPr>
        <w:spacing w:line="20" w:lineRule="exact"/>
        <w:ind w:right="840" w:rightChars="400" w:firstLine="640" w:firstLineChars="200"/>
        <w:jc w:val="right"/>
        <w:rPr>
          <w:rFonts w:ascii="宋体" w:hAnsi="宋体"/>
          <w:color w:val="000000"/>
          <w:sz w:val="32"/>
          <w:szCs w:val="32"/>
        </w:rPr>
      </w:pPr>
      <w:r>
        <w:rPr>
          <w:rFonts w:ascii="宋体" w:hAnsi="宋体"/>
          <w:color w:val="000000"/>
          <w:sz w:val="32"/>
          <w:szCs w:val="32"/>
        </w:rPr>
        <w:t xml:space="preserve"> </w:t>
      </w:r>
    </w:p>
    <w:p>
      <w:pPr>
        <w:rPr>
          <w:rFonts w:ascii="宋体" w:hAnsi="宋体"/>
        </w:rPr>
      </w:pPr>
    </w:p>
    <w:p/>
    <w:sectPr>
      <w:pgSz w:w="11906" w:h="16838"/>
      <w:pgMar w:top="1588" w:right="1531" w:bottom="1644" w:left="1701" w:header="1134" w:footer="1247"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方正小标宋简体">
    <w:altName w:val="Arial Unicode MS"/>
    <w:panose1 w:val="00000000000000000000"/>
    <w:charset w:val="86"/>
    <w:family w:val="auto"/>
    <w:pitch w:val="default"/>
    <w:sig w:usb0="00000000" w:usb1="00000000" w:usb2="00000000" w:usb3="00000000" w:csb0="00040000" w:csb1="00000000"/>
  </w:font>
  <w:font w:name="小标宋">
    <w:altName w:val="宋体"/>
    <w:panose1 w:val="00000000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7483C"/>
    <w:multiLevelType w:val="multilevel"/>
    <w:tmpl w:val="3217483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4A2108A"/>
    <w:multiLevelType w:val="multilevel"/>
    <w:tmpl w:val="54A2108A"/>
    <w:lvl w:ilvl="0" w:tentative="0">
      <w:start w:val="1"/>
      <w:numFmt w:val="decimal"/>
      <w:lvlText w:val="%1)"/>
      <w:lvlJc w:val="left"/>
      <w:pPr>
        <w:ind w:left="885" w:hanging="36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9A4F6C"/>
    <w:rsid w:val="000202F8"/>
    <w:rsid w:val="00033741"/>
    <w:rsid w:val="00033D51"/>
    <w:rsid w:val="00053EEF"/>
    <w:rsid w:val="00083353"/>
    <w:rsid w:val="0009234F"/>
    <w:rsid w:val="00131883"/>
    <w:rsid w:val="00144D0F"/>
    <w:rsid w:val="00195A99"/>
    <w:rsid w:val="001A0551"/>
    <w:rsid w:val="001F4126"/>
    <w:rsid w:val="001F5936"/>
    <w:rsid w:val="00215502"/>
    <w:rsid w:val="00241FE2"/>
    <w:rsid w:val="003213EF"/>
    <w:rsid w:val="003946B5"/>
    <w:rsid w:val="003B4F63"/>
    <w:rsid w:val="003C0E87"/>
    <w:rsid w:val="003C39DF"/>
    <w:rsid w:val="004213D9"/>
    <w:rsid w:val="00490081"/>
    <w:rsid w:val="004C538A"/>
    <w:rsid w:val="005234EB"/>
    <w:rsid w:val="00536002"/>
    <w:rsid w:val="00564616"/>
    <w:rsid w:val="005662FA"/>
    <w:rsid w:val="00586E32"/>
    <w:rsid w:val="005C20DD"/>
    <w:rsid w:val="005C7FA0"/>
    <w:rsid w:val="00616083"/>
    <w:rsid w:val="00684220"/>
    <w:rsid w:val="00706895"/>
    <w:rsid w:val="00742F61"/>
    <w:rsid w:val="008E6CF2"/>
    <w:rsid w:val="008E6FDE"/>
    <w:rsid w:val="009048DB"/>
    <w:rsid w:val="00953789"/>
    <w:rsid w:val="0099005C"/>
    <w:rsid w:val="009B5059"/>
    <w:rsid w:val="009E26DA"/>
    <w:rsid w:val="00AD7278"/>
    <w:rsid w:val="00B01392"/>
    <w:rsid w:val="00B67193"/>
    <w:rsid w:val="00B87E14"/>
    <w:rsid w:val="00C43F0D"/>
    <w:rsid w:val="00C45FD6"/>
    <w:rsid w:val="00C9063C"/>
    <w:rsid w:val="00CA3BC4"/>
    <w:rsid w:val="00D10385"/>
    <w:rsid w:val="00D16486"/>
    <w:rsid w:val="00D5153B"/>
    <w:rsid w:val="00D776F9"/>
    <w:rsid w:val="00D914DC"/>
    <w:rsid w:val="00DA7B61"/>
    <w:rsid w:val="00E34559"/>
    <w:rsid w:val="00E47116"/>
    <w:rsid w:val="00E471C5"/>
    <w:rsid w:val="00E846CD"/>
    <w:rsid w:val="00E8737F"/>
    <w:rsid w:val="00EA62C6"/>
    <w:rsid w:val="00ED3BA1"/>
    <w:rsid w:val="00EE6E04"/>
    <w:rsid w:val="00F85B9F"/>
    <w:rsid w:val="00F87155"/>
    <w:rsid w:val="00FB154D"/>
    <w:rsid w:val="2E9A4F6C"/>
    <w:rsid w:val="2FAB6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Balloon Text"/>
    <w:basedOn w:val="1"/>
    <w:link w:val="11"/>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styleId="8">
    <w:name w:val="FollowedHyperlink"/>
    <w:basedOn w:val="6"/>
    <w:uiPriority w:val="0"/>
    <w:rPr>
      <w:color w:val="954F72" w:themeColor="followedHyperlink"/>
      <w:u w:val="single"/>
      <w14:textFill>
        <w14:solidFill>
          <w14:schemeClr w14:val="folHlink"/>
        </w14:solidFill>
      </w14:textFill>
    </w:rPr>
  </w:style>
  <w:style w:type="character" w:styleId="9">
    <w:name w:val="Hyperlink"/>
    <w:basedOn w:val="6"/>
    <w:uiPriority w:val="0"/>
    <w:rPr>
      <w:color w:val="0563C1" w:themeColor="hyperlink"/>
      <w:u w:val="single"/>
      <w14:textFill>
        <w14:solidFill>
          <w14:schemeClr w14:val="hlink"/>
        </w14:solidFill>
      </w14:textFill>
    </w:rPr>
  </w:style>
  <w:style w:type="character" w:customStyle="1" w:styleId="11">
    <w:name w:val="批注框文本 Char"/>
    <w:basedOn w:val="6"/>
    <w:link w:val="3"/>
    <w:uiPriority w:val="0"/>
    <w:rPr>
      <w:kern w:val="2"/>
      <w:sz w:val="18"/>
      <w:szCs w:val="18"/>
    </w:rPr>
  </w:style>
  <w:style w:type="paragraph" w:customStyle="1" w:styleId="12">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1057</Words>
  <Characters>6025</Characters>
  <Lines>50</Lines>
  <Paragraphs>14</Paragraphs>
  <TotalTime>0</TotalTime>
  <ScaleCrop>false</ScaleCrop>
  <LinksUpToDate>false</LinksUpToDate>
  <CharactersWithSpaces>7068</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2017-09-20T04:04:00Z</dcterms:created>
  <dc:creator>Administrator</dc:creator>
  <cp:lastModifiedBy>Administrator</cp:lastModifiedBy>
  <dcterms:modified xsi:type="dcterms:W3CDTF">2017-09-25T08:55:41Z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