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楷体_GB2312" w:hAnsi="楷体_GB2312" w:eastAsia="楷体_GB2312" w:cs="楷体_GB2312"/>
          <w:sz w:val="24"/>
        </w:rPr>
      </w:pPr>
      <w:r>
        <w:rPr>
          <w:rFonts w:hint="eastAsia"/>
          <w:b/>
          <w:bCs/>
          <w:sz w:val="32"/>
          <w:szCs w:val="32"/>
          <w:lang w:eastAsia="zh-CN"/>
        </w:rPr>
        <w:t>推荐侯选人基本情况和简要事迹</w:t>
      </w:r>
      <w:bookmarkStart w:id="0" w:name="_GoBack"/>
      <w:bookmarkEnd w:id="0"/>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刘明华，男，1970年出生，汉族，九三学社福建省委常委，九三学社福州大学支社主委，于2000年6月毕业于四川大学轻纺与食品学院，获工学博士学位，2000年6月至2002年6月在华南理工大学制浆造纸工程国家重点实验室作博士后研究，2002年7月至今于福州大学环境与资源学院工作，现任院长、教授、博士生导师，福建省生物质资源化技术开发基地主任，主要从事精细化学品、环境友好材料、生物质能源和可再生资源高值化利用方面的研究。目前入选中国科协高层次人才库和福建省第六批“百千万人才工程”，为中国能源学会常务理事、中国环境科学学会理事、中国功能材料学会理事、福建省纸业协会副会长、福建省造纸学会副理事长、中华医学会航海医学分会副主任委员、美国化学学会会员、福建省环保协会科技顾问、福建省青年联合会常务委员、福建省青年科学家联谊会会员、福建水利学会全球水伙伴工作委员会委员，《功能材料》、</w:t>
      </w:r>
      <w:r>
        <w:rPr>
          <w:rFonts w:hint="eastAsia" w:ascii="楷体_GB2312" w:hAnsi="楷体_GB2312" w:eastAsia="楷体_GB2312" w:cs="楷体_GB2312"/>
          <w:bCs/>
          <w:sz w:val="24"/>
          <w:lang w:val="en-GB"/>
        </w:rPr>
        <w:t>《福州大学学报（自然科学版）》</w:t>
      </w:r>
      <w:r>
        <w:rPr>
          <w:rFonts w:hint="eastAsia" w:ascii="楷体_GB2312" w:hAnsi="楷体_GB2312" w:eastAsia="楷体_GB2312" w:cs="楷体_GB2312"/>
          <w:sz w:val="24"/>
        </w:rPr>
        <w:t>学报编委会委员、《Journal of Applied Polymer Science》、《Journal of Colloid and Interface Science》、《JSLTC》、《Chemical and Biochemical Engineering Quarterly Journal》、《Process Biochemistry》、《Analytical Chimica Acta》等国际核心刊物审稿专家以及《分析化学》、《四川大学学报》、《感光科学与光化学》、《石油化工高等学校学报》等国内核心刊物特邀审稿专家。</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自工作以来，不仅他个人及其引领的学术团队取得了众多的研究成果，而且还为环境与资源学院学科的建设和发展开展了一系列开创性的工作并做出了重大贡献。在持续开展与国内外高校、企事业单位的交流和合作的基础上，大力推进国际化交流合作的进程，注重产学研用的有机结合，积极推进创业型院校建设。</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方正仿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小标宋">
    <w:altName w:val="宋体"/>
    <w:panose1 w:val="00000000000000000000"/>
    <w:charset w:val="86"/>
    <w:family w:val="script"/>
    <w:pitch w:val="default"/>
    <w:sig w:usb0="00000000" w:usb1="00000000" w:usb2="00000010" w:usb3="00000000" w:csb0="00040000" w:csb1="00000000"/>
  </w:font>
  <w:font w:name="华康简标题宋">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178C5"/>
    <w:rsid w:val="041178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2016-04-01T07:53:00Z</dcterms:created>
  <dc:creator>福建省教育厅</dc:creator>
  <cp:lastModifiedBy>福建省教育厅</cp:lastModifiedBy>
  <dcterms:modified xsi:type="dcterms:W3CDTF">2016-04-01T07:53:57Z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